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D72" w:rsidRPr="002F0AF4" w:rsidRDefault="00F25D72"/>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CD4F7F" w:rsidRPr="002F0AF4" w:rsidTr="00517D5B">
        <w:trPr>
          <w:trHeight w:val="372"/>
        </w:trPr>
        <w:tc>
          <w:tcPr>
            <w:tcW w:w="2694" w:type="dxa"/>
            <w:vAlign w:val="center"/>
          </w:tcPr>
          <w:p w:rsidR="00CD4F7F" w:rsidRPr="002F0AF4" w:rsidRDefault="002A3CC6" w:rsidP="00D541FD">
            <w:pPr>
              <w:rPr>
                <w:szCs w:val="22"/>
              </w:rPr>
            </w:pPr>
            <w:r w:rsidRPr="002F0AF4">
              <w:rPr>
                <w:szCs w:val="22"/>
              </w:rPr>
              <w:t>Toplantı Yeri</w:t>
            </w:r>
          </w:p>
        </w:tc>
        <w:tc>
          <w:tcPr>
            <w:tcW w:w="6379" w:type="dxa"/>
            <w:vAlign w:val="center"/>
          </w:tcPr>
          <w:p w:rsidR="00CD4F7F" w:rsidRPr="002F0AF4" w:rsidRDefault="00F35013" w:rsidP="00FA41A1">
            <w:pPr>
              <w:rPr>
                <w:sz w:val="22"/>
                <w:szCs w:val="22"/>
              </w:rPr>
            </w:pPr>
            <w:r w:rsidRPr="002F0AF4">
              <w:rPr>
                <w:sz w:val="22"/>
                <w:szCs w:val="22"/>
              </w:rPr>
              <w:t>Vali Galip Demirel</w:t>
            </w:r>
            <w:r w:rsidR="00E240B1" w:rsidRPr="002F0AF4">
              <w:rPr>
                <w:sz w:val="22"/>
                <w:szCs w:val="22"/>
              </w:rPr>
              <w:t xml:space="preserve"> Ortaokulu </w:t>
            </w:r>
            <w:r w:rsidR="00E105AA" w:rsidRPr="002F0AF4">
              <w:rPr>
                <w:sz w:val="22"/>
                <w:szCs w:val="22"/>
              </w:rPr>
              <w:t>Toplantı Salonu</w:t>
            </w:r>
          </w:p>
        </w:tc>
      </w:tr>
      <w:tr w:rsidR="002A3CC6" w:rsidRPr="002F0AF4" w:rsidTr="00517D5B">
        <w:trPr>
          <w:trHeight w:val="372"/>
        </w:trPr>
        <w:tc>
          <w:tcPr>
            <w:tcW w:w="2694" w:type="dxa"/>
            <w:vAlign w:val="center"/>
          </w:tcPr>
          <w:p w:rsidR="002A3CC6" w:rsidRPr="002F0AF4" w:rsidRDefault="002A3CC6" w:rsidP="009B6E0B">
            <w:pPr>
              <w:rPr>
                <w:szCs w:val="22"/>
              </w:rPr>
            </w:pPr>
            <w:r w:rsidRPr="002F0AF4">
              <w:rPr>
                <w:szCs w:val="22"/>
              </w:rPr>
              <w:t>Toplantı No</w:t>
            </w:r>
          </w:p>
        </w:tc>
        <w:tc>
          <w:tcPr>
            <w:tcW w:w="6379" w:type="dxa"/>
            <w:vAlign w:val="center"/>
          </w:tcPr>
          <w:p w:rsidR="002A3CC6" w:rsidRPr="002F0AF4" w:rsidRDefault="00C47F1A" w:rsidP="00D541FD">
            <w:pPr>
              <w:rPr>
                <w:sz w:val="22"/>
                <w:szCs w:val="22"/>
              </w:rPr>
            </w:pPr>
            <w:r w:rsidRPr="002F0AF4">
              <w:rPr>
                <w:sz w:val="22"/>
                <w:szCs w:val="22"/>
              </w:rPr>
              <w:t>1</w:t>
            </w:r>
          </w:p>
        </w:tc>
      </w:tr>
      <w:tr w:rsidR="002A3CC6" w:rsidRPr="002F0AF4" w:rsidTr="00517D5B">
        <w:trPr>
          <w:trHeight w:val="341"/>
        </w:trPr>
        <w:tc>
          <w:tcPr>
            <w:tcW w:w="2694" w:type="dxa"/>
            <w:vAlign w:val="center"/>
          </w:tcPr>
          <w:p w:rsidR="002A3CC6" w:rsidRPr="002F0AF4" w:rsidRDefault="002A3CC6" w:rsidP="00D541FD">
            <w:pPr>
              <w:rPr>
                <w:szCs w:val="22"/>
              </w:rPr>
            </w:pPr>
            <w:r w:rsidRPr="002F0AF4">
              <w:rPr>
                <w:szCs w:val="22"/>
              </w:rPr>
              <w:t>Tarih - Saat</w:t>
            </w:r>
          </w:p>
        </w:tc>
        <w:tc>
          <w:tcPr>
            <w:tcW w:w="6379" w:type="dxa"/>
            <w:vAlign w:val="center"/>
          </w:tcPr>
          <w:p w:rsidR="002A3CC6" w:rsidRPr="002F0AF4" w:rsidRDefault="00DD71A9" w:rsidP="00A82716">
            <w:pPr>
              <w:rPr>
                <w:sz w:val="22"/>
                <w:szCs w:val="22"/>
              </w:rPr>
            </w:pPr>
            <w:r w:rsidRPr="002F0AF4">
              <w:rPr>
                <w:sz w:val="22"/>
                <w:szCs w:val="22"/>
              </w:rPr>
              <w:t>11</w:t>
            </w:r>
            <w:r w:rsidR="00F35013" w:rsidRPr="002F0AF4">
              <w:rPr>
                <w:sz w:val="22"/>
                <w:szCs w:val="22"/>
              </w:rPr>
              <w:t>/03/</w:t>
            </w:r>
            <w:r w:rsidR="00C47F1A" w:rsidRPr="002F0AF4">
              <w:rPr>
                <w:sz w:val="22"/>
                <w:szCs w:val="22"/>
              </w:rPr>
              <w:t>2020</w:t>
            </w:r>
          </w:p>
        </w:tc>
      </w:tr>
    </w:tbl>
    <w:p w:rsidR="00F25D72" w:rsidRPr="002F0AF4" w:rsidRDefault="00F25D72"/>
    <w:tbl>
      <w:tblPr>
        <w:tblpPr w:leftFromText="141" w:rightFromText="141" w:vertAnchor="text" w:horzAnchor="margin" w:tblpY="-59"/>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8505"/>
      </w:tblGrid>
      <w:tr w:rsidR="008E4271" w:rsidRPr="002F0AF4" w:rsidTr="00332A2D">
        <w:trPr>
          <w:trHeight w:val="393"/>
        </w:trPr>
        <w:tc>
          <w:tcPr>
            <w:tcW w:w="568" w:type="dxa"/>
          </w:tcPr>
          <w:p w:rsidR="008E4271" w:rsidRPr="002F0AF4" w:rsidRDefault="008E4271" w:rsidP="00332A2D"/>
        </w:tc>
        <w:tc>
          <w:tcPr>
            <w:tcW w:w="8505" w:type="dxa"/>
            <w:vAlign w:val="center"/>
          </w:tcPr>
          <w:p w:rsidR="008E4271" w:rsidRPr="002F0AF4" w:rsidRDefault="008E4271" w:rsidP="00332A2D">
            <w:pPr>
              <w:jc w:val="center"/>
            </w:pPr>
            <w:r w:rsidRPr="002F0AF4">
              <w:t>YÖNETİMİ GÖZDEN GEÇİRME TOPLANTISI  GÜNDEM  MADDELERİ</w:t>
            </w:r>
          </w:p>
        </w:tc>
      </w:tr>
      <w:tr w:rsidR="008E4271" w:rsidRPr="002F0AF4" w:rsidTr="00332A2D">
        <w:trPr>
          <w:trHeight w:val="281"/>
        </w:trPr>
        <w:tc>
          <w:tcPr>
            <w:tcW w:w="568" w:type="dxa"/>
            <w:vAlign w:val="center"/>
          </w:tcPr>
          <w:p w:rsidR="008E4271" w:rsidRPr="002F0AF4" w:rsidRDefault="008E4271" w:rsidP="00332A2D">
            <w:pPr>
              <w:numPr>
                <w:ilvl w:val="0"/>
                <w:numId w:val="2"/>
              </w:numPr>
              <w:jc w:val="center"/>
            </w:pPr>
          </w:p>
        </w:tc>
        <w:tc>
          <w:tcPr>
            <w:tcW w:w="8505" w:type="dxa"/>
          </w:tcPr>
          <w:p w:rsidR="008E4271" w:rsidRPr="002F0AF4" w:rsidRDefault="008E4271" w:rsidP="00332A2D">
            <w:pPr>
              <w:tabs>
                <w:tab w:val="left" w:pos="4365"/>
              </w:tabs>
              <w:autoSpaceDE w:val="0"/>
              <w:autoSpaceDN w:val="0"/>
              <w:adjustRightInd w:val="0"/>
              <w:ind w:left="360" w:right="227"/>
              <w:rPr>
                <w:bCs/>
                <w:color w:val="000000"/>
              </w:rPr>
            </w:pPr>
            <w:r w:rsidRPr="002F0AF4">
              <w:rPr>
                <w:bCs/>
                <w:color w:val="000000"/>
              </w:rPr>
              <w:t xml:space="preserve">Açılış </w:t>
            </w:r>
          </w:p>
        </w:tc>
      </w:tr>
      <w:tr w:rsidR="008E4271" w:rsidRPr="002F0AF4" w:rsidTr="00332A2D">
        <w:trPr>
          <w:trHeight w:val="260"/>
        </w:trPr>
        <w:tc>
          <w:tcPr>
            <w:tcW w:w="568" w:type="dxa"/>
            <w:vAlign w:val="center"/>
          </w:tcPr>
          <w:p w:rsidR="008E4271" w:rsidRPr="002F0AF4" w:rsidRDefault="008E4271" w:rsidP="00332A2D">
            <w:pPr>
              <w:numPr>
                <w:ilvl w:val="0"/>
                <w:numId w:val="2"/>
              </w:numPr>
              <w:jc w:val="center"/>
            </w:pPr>
          </w:p>
        </w:tc>
        <w:tc>
          <w:tcPr>
            <w:tcW w:w="8505" w:type="dxa"/>
          </w:tcPr>
          <w:p w:rsidR="008E4271" w:rsidRPr="002F0AF4" w:rsidRDefault="008E4271" w:rsidP="00332A2D">
            <w:pPr>
              <w:tabs>
                <w:tab w:val="left" w:pos="4365"/>
              </w:tabs>
              <w:autoSpaceDE w:val="0"/>
              <w:autoSpaceDN w:val="0"/>
              <w:adjustRightInd w:val="0"/>
              <w:ind w:left="360" w:right="227"/>
              <w:rPr>
                <w:bCs/>
                <w:color w:val="000000"/>
              </w:rPr>
            </w:pPr>
            <w:r w:rsidRPr="002F0AF4">
              <w:rPr>
                <w:bCs/>
                <w:color w:val="000000"/>
              </w:rPr>
              <w:t xml:space="preserve">Yoklama </w:t>
            </w:r>
          </w:p>
        </w:tc>
      </w:tr>
      <w:tr w:rsidR="008E4271" w:rsidRPr="002F0AF4" w:rsidTr="00332A2D">
        <w:trPr>
          <w:trHeight w:val="393"/>
        </w:trPr>
        <w:tc>
          <w:tcPr>
            <w:tcW w:w="568" w:type="dxa"/>
            <w:vAlign w:val="center"/>
          </w:tcPr>
          <w:p w:rsidR="008E4271" w:rsidRPr="002F0AF4" w:rsidRDefault="008E4271" w:rsidP="00332A2D">
            <w:pPr>
              <w:numPr>
                <w:ilvl w:val="0"/>
                <w:numId w:val="2"/>
              </w:numPr>
              <w:jc w:val="center"/>
            </w:pPr>
          </w:p>
        </w:tc>
        <w:tc>
          <w:tcPr>
            <w:tcW w:w="8505" w:type="dxa"/>
          </w:tcPr>
          <w:p w:rsidR="008E4271" w:rsidRPr="002F0AF4" w:rsidRDefault="008E4271" w:rsidP="00332A2D">
            <w:pPr>
              <w:tabs>
                <w:tab w:val="left" w:pos="4365"/>
              </w:tabs>
              <w:autoSpaceDE w:val="0"/>
              <w:autoSpaceDN w:val="0"/>
              <w:adjustRightInd w:val="0"/>
              <w:ind w:left="360" w:right="227"/>
              <w:rPr>
                <w:bCs/>
                <w:color w:val="000000"/>
              </w:rPr>
            </w:pPr>
            <w:r w:rsidRPr="002F0AF4">
              <w:rPr>
                <w:bCs/>
                <w:color w:val="000000"/>
              </w:rPr>
              <w:t>İlgili tarafların ihtiyaç ve beklentileri</w:t>
            </w:r>
          </w:p>
        </w:tc>
      </w:tr>
      <w:tr w:rsidR="008E4271" w:rsidRPr="002F0AF4" w:rsidTr="005B3152">
        <w:trPr>
          <w:trHeight w:val="308"/>
        </w:trPr>
        <w:tc>
          <w:tcPr>
            <w:tcW w:w="568" w:type="dxa"/>
            <w:vAlign w:val="center"/>
          </w:tcPr>
          <w:p w:rsidR="008E4271" w:rsidRPr="002F0AF4" w:rsidRDefault="008E4271" w:rsidP="00332A2D">
            <w:pPr>
              <w:numPr>
                <w:ilvl w:val="0"/>
                <w:numId w:val="2"/>
              </w:numPr>
              <w:jc w:val="center"/>
            </w:pPr>
          </w:p>
        </w:tc>
        <w:tc>
          <w:tcPr>
            <w:tcW w:w="8505" w:type="dxa"/>
          </w:tcPr>
          <w:p w:rsidR="008E4271" w:rsidRPr="002F0AF4" w:rsidRDefault="008E4271" w:rsidP="00332A2D">
            <w:pPr>
              <w:tabs>
                <w:tab w:val="left" w:pos="4365"/>
              </w:tabs>
              <w:autoSpaceDE w:val="0"/>
              <w:autoSpaceDN w:val="0"/>
              <w:adjustRightInd w:val="0"/>
              <w:ind w:left="360" w:right="227"/>
              <w:rPr>
                <w:bCs/>
                <w:color w:val="000000"/>
              </w:rPr>
            </w:pPr>
            <w:r w:rsidRPr="002F0AF4">
              <w:rPr>
                <w:rFonts w:eastAsia="Calibri"/>
                <w:lang w:eastAsia="en-US"/>
              </w:rPr>
              <w:t>Yasal ve Diğer Şartlar</w:t>
            </w:r>
          </w:p>
        </w:tc>
      </w:tr>
      <w:tr w:rsidR="008E4271" w:rsidRPr="002F0AF4" w:rsidTr="005B3152">
        <w:trPr>
          <w:trHeight w:val="271"/>
        </w:trPr>
        <w:tc>
          <w:tcPr>
            <w:tcW w:w="568" w:type="dxa"/>
            <w:vAlign w:val="center"/>
          </w:tcPr>
          <w:p w:rsidR="008E4271" w:rsidRPr="002F0AF4" w:rsidRDefault="008E4271" w:rsidP="00332A2D">
            <w:pPr>
              <w:numPr>
                <w:ilvl w:val="0"/>
                <w:numId w:val="2"/>
              </w:numPr>
              <w:jc w:val="center"/>
            </w:pPr>
          </w:p>
        </w:tc>
        <w:tc>
          <w:tcPr>
            <w:tcW w:w="8505" w:type="dxa"/>
          </w:tcPr>
          <w:p w:rsidR="008E4271" w:rsidRPr="002F0AF4" w:rsidRDefault="008E4271" w:rsidP="00332A2D">
            <w:pPr>
              <w:tabs>
                <w:tab w:val="left" w:pos="4365"/>
              </w:tabs>
              <w:autoSpaceDE w:val="0"/>
              <w:autoSpaceDN w:val="0"/>
              <w:adjustRightInd w:val="0"/>
              <w:ind w:left="360" w:right="227"/>
              <w:rPr>
                <w:rFonts w:eastAsia="Calibri"/>
                <w:lang w:eastAsia="en-US"/>
              </w:rPr>
            </w:pPr>
            <w:r w:rsidRPr="002F0AF4">
              <w:rPr>
                <w:rFonts w:eastAsia="Calibri"/>
                <w:lang w:eastAsia="en-US"/>
              </w:rPr>
              <w:t>Riskler ve Fırsatlar</w:t>
            </w:r>
          </w:p>
        </w:tc>
      </w:tr>
      <w:tr w:rsidR="008E4271" w:rsidRPr="002F0AF4" w:rsidTr="00332A2D">
        <w:trPr>
          <w:trHeight w:val="393"/>
        </w:trPr>
        <w:tc>
          <w:tcPr>
            <w:tcW w:w="568" w:type="dxa"/>
            <w:vAlign w:val="center"/>
          </w:tcPr>
          <w:p w:rsidR="008E4271" w:rsidRPr="002F0AF4" w:rsidRDefault="008E4271" w:rsidP="00332A2D">
            <w:pPr>
              <w:numPr>
                <w:ilvl w:val="0"/>
                <w:numId w:val="2"/>
              </w:numPr>
              <w:jc w:val="center"/>
            </w:pPr>
          </w:p>
        </w:tc>
        <w:tc>
          <w:tcPr>
            <w:tcW w:w="8505" w:type="dxa"/>
          </w:tcPr>
          <w:p w:rsidR="008E4271" w:rsidRPr="002F0AF4" w:rsidRDefault="008E4271" w:rsidP="00332A2D">
            <w:pPr>
              <w:tabs>
                <w:tab w:val="left" w:pos="4365"/>
              </w:tabs>
              <w:autoSpaceDE w:val="0"/>
              <w:autoSpaceDN w:val="0"/>
              <w:adjustRightInd w:val="0"/>
              <w:ind w:left="360" w:right="227"/>
              <w:rPr>
                <w:bCs/>
                <w:color w:val="000000"/>
              </w:rPr>
            </w:pPr>
            <w:r w:rsidRPr="002F0AF4">
              <w:t>Kurumumuzun İSG Politikası ve İSG hedeflerine ulaşma derecesi</w:t>
            </w:r>
          </w:p>
        </w:tc>
      </w:tr>
      <w:tr w:rsidR="008E4271" w:rsidRPr="002F0AF4" w:rsidTr="00332A2D">
        <w:trPr>
          <w:trHeight w:val="393"/>
        </w:trPr>
        <w:tc>
          <w:tcPr>
            <w:tcW w:w="568" w:type="dxa"/>
            <w:vAlign w:val="center"/>
          </w:tcPr>
          <w:p w:rsidR="008E4271" w:rsidRPr="002F0AF4" w:rsidRDefault="008E4271" w:rsidP="00332A2D">
            <w:pPr>
              <w:numPr>
                <w:ilvl w:val="0"/>
                <w:numId w:val="2"/>
              </w:numPr>
              <w:jc w:val="center"/>
            </w:pPr>
          </w:p>
        </w:tc>
        <w:tc>
          <w:tcPr>
            <w:tcW w:w="8505" w:type="dxa"/>
          </w:tcPr>
          <w:p w:rsidR="008E4271" w:rsidRPr="002F0AF4" w:rsidRDefault="008E4271" w:rsidP="00332A2D">
            <w:pPr>
              <w:tabs>
                <w:tab w:val="left" w:pos="4365"/>
              </w:tabs>
              <w:autoSpaceDE w:val="0"/>
              <w:autoSpaceDN w:val="0"/>
              <w:adjustRightInd w:val="0"/>
              <w:ind w:left="360" w:right="227"/>
            </w:pPr>
            <w:r w:rsidRPr="002F0AF4">
              <w:t>Kurumumuzun İSG Performansı Hakkında Bilgi</w:t>
            </w:r>
          </w:p>
        </w:tc>
      </w:tr>
      <w:tr w:rsidR="008E4271" w:rsidRPr="002F0AF4" w:rsidTr="00332A2D">
        <w:trPr>
          <w:trHeight w:val="393"/>
        </w:trPr>
        <w:tc>
          <w:tcPr>
            <w:tcW w:w="568" w:type="dxa"/>
            <w:vAlign w:val="center"/>
          </w:tcPr>
          <w:p w:rsidR="008E4271" w:rsidRPr="002F0AF4" w:rsidRDefault="008E4271" w:rsidP="00332A2D">
            <w:pPr>
              <w:numPr>
                <w:ilvl w:val="0"/>
                <w:numId w:val="2"/>
              </w:numPr>
              <w:jc w:val="center"/>
            </w:pPr>
          </w:p>
        </w:tc>
        <w:tc>
          <w:tcPr>
            <w:tcW w:w="8505" w:type="dxa"/>
            <w:vAlign w:val="center"/>
          </w:tcPr>
          <w:p w:rsidR="008E4271" w:rsidRPr="002F0AF4" w:rsidRDefault="008E4271" w:rsidP="00332A2D">
            <w:pPr>
              <w:spacing w:line="360" w:lineRule="auto"/>
              <w:ind w:left="360"/>
            </w:pPr>
            <w:r w:rsidRPr="002F0AF4">
              <w:t>Etkin bir İSG yönetim sisteminin sürekliliği için kaynakların yeterliliği,</w:t>
            </w:r>
          </w:p>
        </w:tc>
      </w:tr>
      <w:tr w:rsidR="008E4271" w:rsidRPr="002F0AF4" w:rsidTr="00332A2D">
        <w:trPr>
          <w:trHeight w:val="415"/>
        </w:trPr>
        <w:tc>
          <w:tcPr>
            <w:tcW w:w="568" w:type="dxa"/>
            <w:vAlign w:val="center"/>
          </w:tcPr>
          <w:p w:rsidR="008E4271" w:rsidRPr="002F0AF4" w:rsidRDefault="008E4271" w:rsidP="00332A2D">
            <w:pPr>
              <w:numPr>
                <w:ilvl w:val="0"/>
                <w:numId w:val="2"/>
              </w:numPr>
              <w:jc w:val="center"/>
            </w:pPr>
          </w:p>
        </w:tc>
        <w:tc>
          <w:tcPr>
            <w:tcW w:w="8505" w:type="dxa"/>
            <w:vAlign w:val="center"/>
          </w:tcPr>
          <w:p w:rsidR="008E4271" w:rsidRPr="002F0AF4" w:rsidRDefault="008E4271" w:rsidP="00332A2D">
            <w:pPr>
              <w:spacing w:line="360" w:lineRule="auto"/>
              <w:ind w:left="360"/>
            </w:pPr>
            <w:r w:rsidRPr="002F0AF4">
              <w:t>İlgili Taraflarla İletişim(ler),</w:t>
            </w:r>
          </w:p>
        </w:tc>
      </w:tr>
      <w:tr w:rsidR="008E4271" w:rsidRPr="002F0AF4" w:rsidTr="00332A2D">
        <w:trPr>
          <w:trHeight w:val="415"/>
        </w:trPr>
        <w:tc>
          <w:tcPr>
            <w:tcW w:w="568" w:type="dxa"/>
            <w:vAlign w:val="center"/>
          </w:tcPr>
          <w:p w:rsidR="008E4271" w:rsidRPr="002F0AF4" w:rsidRDefault="008E4271" w:rsidP="00332A2D">
            <w:pPr>
              <w:numPr>
                <w:ilvl w:val="0"/>
                <w:numId w:val="2"/>
              </w:numPr>
              <w:jc w:val="center"/>
            </w:pPr>
          </w:p>
        </w:tc>
        <w:tc>
          <w:tcPr>
            <w:tcW w:w="8505" w:type="dxa"/>
            <w:vAlign w:val="center"/>
          </w:tcPr>
          <w:p w:rsidR="008E4271" w:rsidRPr="002F0AF4" w:rsidRDefault="008E4271" w:rsidP="00332A2D">
            <w:pPr>
              <w:spacing w:line="360" w:lineRule="auto"/>
              <w:ind w:left="360"/>
            </w:pPr>
            <w:r w:rsidRPr="002F0AF4">
              <w:t>Sürekli İyileştirme İçin Fırsatlar</w:t>
            </w:r>
          </w:p>
        </w:tc>
      </w:tr>
      <w:tr w:rsidR="008E4271" w:rsidRPr="002F0AF4" w:rsidTr="00332A2D">
        <w:trPr>
          <w:trHeight w:val="415"/>
        </w:trPr>
        <w:tc>
          <w:tcPr>
            <w:tcW w:w="568" w:type="dxa"/>
            <w:vAlign w:val="center"/>
          </w:tcPr>
          <w:p w:rsidR="008E4271" w:rsidRPr="002F0AF4" w:rsidRDefault="008E4271" w:rsidP="00332A2D">
            <w:pPr>
              <w:numPr>
                <w:ilvl w:val="0"/>
                <w:numId w:val="2"/>
              </w:numPr>
              <w:jc w:val="center"/>
            </w:pPr>
          </w:p>
        </w:tc>
        <w:tc>
          <w:tcPr>
            <w:tcW w:w="8505" w:type="dxa"/>
            <w:vAlign w:val="center"/>
          </w:tcPr>
          <w:p w:rsidR="008E4271" w:rsidRPr="002F0AF4" w:rsidRDefault="008E4271" w:rsidP="00332A2D">
            <w:pPr>
              <w:spacing w:line="360" w:lineRule="auto"/>
              <w:ind w:left="360"/>
            </w:pPr>
            <w:r w:rsidRPr="002F0AF4">
              <w:t>Yönetimin gözden geçirmesine ait çıktılar</w:t>
            </w:r>
          </w:p>
        </w:tc>
      </w:tr>
      <w:tr w:rsidR="008E4271" w:rsidRPr="002F0AF4" w:rsidTr="00332A2D">
        <w:trPr>
          <w:trHeight w:val="415"/>
        </w:trPr>
        <w:tc>
          <w:tcPr>
            <w:tcW w:w="568" w:type="dxa"/>
            <w:vAlign w:val="center"/>
          </w:tcPr>
          <w:p w:rsidR="008E4271" w:rsidRPr="002F0AF4" w:rsidRDefault="008E4271" w:rsidP="00332A2D">
            <w:pPr>
              <w:numPr>
                <w:ilvl w:val="0"/>
                <w:numId w:val="2"/>
              </w:numPr>
              <w:jc w:val="center"/>
            </w:pPr>
          </w:p>
        </w:tc>
        <w:tc>
          <w:tcPr>
            <w:tcW w:w="8505" w:type="dxa"/>
            <w:vAlign w:val="center"/>
          </w:tcPr>
          <w:p w:rsidR="008E4271" w:rsidRPr="002F0AF4" w:rsidRDefault="008E4271" w:rsidP="00332A2D">
            <w:pPr>
              <w:spacing w:line="360" w:lineRule="auto"/>
              <w:ind w:left="360"/>
            </w:pPr>
            <w:r w:rsidRPr="002F0AF4">
              <w:t>Kapanış</w:t>
            </w:r>
          </w:p>
        </w:tc>
      </w:tr>
    </w:tbl>
    <w:p w:rsidR="00F25D72" w:rsidRPr="002F0AF4" w:rsidRDefault="00E240B1">
      <w:r w:rsidRPr="002F0AF4">
        <w:t xml:space="preserve">  </w:t>
      </w:r>
    </w:p>
    <w:p w:rsidR="00543B87" w:rsidRPr="002F0AF4" w:rsidRDefault="00543B87" w:rsidP="00543B87">
      <w:pPr>
        <w:jc w:val="both"/>
      </w:pPr>
      <w:r w:rsidRPr="002F0AF4">
        <w:t xml:space="preserve"> </w:t>
      </w:r>
      <w:r w:rsidR="00FB04D8" w:rsidRPr="002F0AF4">
        <w:t xml:space="preserve">     </w:t>
      </w:r>
      <w:r w:rsidRPr="002F0AF4">
        <w:t xml:space="preserve"> 1.</w:t>
      </w:r>
      <w:r w:rsidR="00FB04D8" w:rsidRPr="002F0AF4">
        <w:t xml:space="preserve"> </w:t>
      </w:r>
      <w:r w:rsidRPr="002F0AF4">
        <w:t>Açılış ve yoklama yapıldı.</w:t>
      </w:r>
    </w:p>
    <w:p w:rsidR="005B3152" w:rsidRPr="002F0AF4" w:rsidRDefault="005B3152" w:rsidP="00543B87">
      <w:pPr>
        <w:jc w:val="both"/>
      </w:pPr>
    </w:p>
    <w:p w:rsidR="00543B87" w:rsidRPr="002F0AF4" w:rsidRDefault="00FB04D8" w:rsidP="00543B87">
      <w:pPr>
        <w:jc w:val="both"/>
      </w:pPr>
      <w:r w:rsidRPr="002F0AF4">
        <w:t xml:space="preserve">       </w:t>
      </w:r>
      <w:r w:rsidR="00543B87" w:rsidRPr="002F0AF4">
        <w:t xml:space="preserve">2.Toplantı Okul Müdürü </w:t>
      </w:r>
      <w:r w:rsidR="00A27C1F" w:rsidRPr="002F0AF4">
        <w:t>Hamit KAPAN</w:t>
      </w:r>
      <w:r w:rsidR="00543B87" w:rsidRPr="002F0AF4">
        <w:t xml:space="preserve"> başkanlığında başladı</w:t>
      </w:r>
      <w:r w:rsidR="00A20F16" w:rsidRPr="002F0AF4">
        <w:t>.T</w:t>
      </w:r>
      <w:r w:rsidR="00543B87" w:rsidRPr="002F0AF4">
        <w:t xml:space="preserve">oplantıya katılımın tam olduğu görüldü. </w:t>
      </w:r>
    </w:p>
    <w:p w:rsidR="005B3152" w:rsidRPr="002F0AF4" w:rsidRDefault="005B3152" w:rsidP="00543B87">
      <w:pPr>
        <w:jc w:val="both"/>
      </w:pPr>
    </w:p>
    <w:p w:rsidR="00FB04D8" w:rsidRPr="002F0AF4" w:rsidRDefault="00FB04D8" w:rsidP="00543B87">
      <w:pPr>
        <w:jc w:val="both"/>
      </w:pPr>
      <w:r w:rsidRPr="002F0AF4">
        <w:t xml:space="preserve">      3-   </w:t>
      </w:r>
      <w:r w:rsidR="005B3152" w:rsidRPr="002F0AF4">
        <w:t>Tüm Paydaşların ihtiyaç beklentilerini tespiti anketler aracılığı ile yapılmaktadır.</w:t>
      </w:r>
    </w:p>
    <w:p w:rsidR="00FB04D8" w:rsidRPr="002F0AF4" w:rsidRDefault="00FB04D8" w:rsidP="00543B87">
      <w:pPr>
        <w:jc w:val="both"/>
      </w:pPr>
    </w:p>
    <w:p w:rsidR="00FB04D8" w:rsidRPr="002F0AF4" w:rsidRDefault="00FB04D8" w:rsidP="00543B87">
      <w:pPr>
        <w:jc w:val="both"/>
      </w:pPr>
      <w:r w:rsidRPr="002F0AF4">
        <w:t xml:space="preserve">                 </w:t>
      </w:r>
    </w:p>
    <w:p w:rsidR="00FB04D8" w:rsidRPr="002F0AF4" w:rsidRDefault="00FB04D8" w:rsidP="00543B87">
      <w:pPr>
        <w:jc w:val="both"/>
      </w:pPr>
      <w:r w:rsidRPr="002F0AF4">
        <w:t xml:space="preserve">      4-</w:t>
      </w:r>
      <w:r w:rsidR="00DD71A9" w:rsidRPr="002F0AF4">
        <w:t>Mevzuat takibi ile ilgili olarak Kalite Temsilcisi Aydın Erdem TOKAY bilgi verdi. İSG yasal ve diğer şartları belirleme prosesi sorumlu olmasına karar verildi.</w:t>
      </w:r>
      <w:r w:rsidR="008E3F2A" w:rsidRPr="002F0AF4">
        <w:t xml:space="preserve"> </w:t>
      </w:r>
      <w:r w:rsidR="00005FD3" w:rsidRPr="002F0AF4">
        <w:t xml:space="preserve">Bundan sonraki toplantılarda ilgili proses sorumlusunun </w:t>
      </w:r>
      <w:r w:rsidR="008F277C" w:rsidRPr="002F0AF4">
        <w:t>çalışma yapması kararlaştırıldı.</w:t>
      </w:r>
    </w:p>
    <w:p w:rsidR="00FB04D8" w:rsidRPr="002F0AF4" w:rsidRDefault="00FB04D8" w:rsidP="00543B87">
      <w:pPr>
        <w:jc w:val="both"/>
      </w:pPr>
    </w:p>
    <w:p w:rsidR="00FB04D8" w:rsidRPr="002F0AF4" w:rsidRDefault="00FB04D8" w:rsidP="00543B87">
      <w:pPr>
        <w:jc w:val="both"/>
      </w:pPr>
    </w:p>
    <w:p w:rsidR="00E87D38" w:rsidRPr="002F0AF4" w:rsidRDefault="00FB04D8">
      <w:r w:rsidRPr="002F0AF4">
        <w:t xml:space="preserve">      5-</w:t>
      </w:r>
      <w:r w:rsidR="00B41E67" w:rsidRPr="002F0AF4">
        <w:t xml:space="preserve">MEBBİS İSG modülünde bulunan risk ve fırsatlar için gerekli </w:t>
      </w:r>
      <w:r w:rsidR="00DB7002" w:rsidRPr="002F0AF4">
        <w:t xml:space="preserve">Ramak Kala </w:t>
      </w:r>
      <w:r w:rsidR="00B41E67" w:rsidRPr="002F0AF4">
        <w:t>olayları,</w:t>
      </w:r>
      <w:r w:rsidR="00DB7002" w:rsidRPr="002F0AF4">
        <w:t xml:space="preserve"> </w:t>
      </w:r>
      <w:r w:rsidR="00B41E67" w:rsidRPr="002F0AF4">
        <w:t>düzeltici faaliyet formlarının eksiksiz bir şekilde doldurulması kararlaştırıldı.</w:t>
      </w:r>
    </w:p>
    <w:p w:rsidR="00FB04D8" w:rsidRPr="002F0AF4" w:rsidRDefault="00FB04D8"/>
    <w:p w:rsidR="00FB04D8" w:rsidRPr="002F0AF4" w:rsidRDefault="00FB04D8"/>
    <w:p w:rsidR="00E87D38" w:rsidRPr="002F0AF4" w:rsidRDefault="00FB04D8">
      <w:r w:rsidRPr="002F0AF4">
        <w:t xml:space="preserve">      6-</w:t>
      </w:r>
      <w:r w:rsidR="0023576B" w:rsidRPr="002F0AF4">
        <w:t>Kurumumuzun İSG politikası web sitesinde,</w:t>
      </w:r>
      <w:r w:rsidR="00BC03C3">
        <w:t xml:space="preserve"> </w:t>
      </w:r>
      <w:r w:rsidR="0023576B" w:rsidRPr="002F0AF4">
        <w:t>okul giriş kısmında öğretmen Whatsapp grupları ve Öğretmenler Odasında duyurulmuş bunun için anketler düzenlenmiştir.</w:t>
      </w:r>
    </w:p>
    <w:p w:rsidR="00FB04D8" w:rsidRPr="002F0AF4" w:rsidRDefault="00FB04D8"/>
    <w:p w:rsidR="00A15D11" w:rsidRPr="002F0AF4" w:rsidRDefault="00F07564" w:rsidP="00A15D11">
      <w:r w:rsidRPr="002F0AF4">
        <w:t>7-</w:t>
      </w:r>
      <w:r w:rsidR="00A15D11" w:rsidRPr="002F0AF4">
        <w:t xml:space="preserve"> Kurumumuzun İSG Performansı Hakkında Bilgi ile ilgili olarak</w:t>
      </w:r>
      <w:r w:rsidR="00EA7365" w:rsidRPr="002F0AF4">
        <w:t>;</w:t>
      </w:r>
    </w:p>
    <w:p w:rsidR="00EA7365" w:rsidRPr="002F0AF4" w:rsidRDefault="00EA7365" w:rsidP="00A15D11"/>
    <w:p w:rsidR="00FB04D8" w:rsidRPr="002F0AF4" w:rsidRDefault="00FB04D8" w:rsidP="00FB04D8">
      <w:r w:rsidRPr="002F0AF4">
        <w:t xml:space="preserve">            </w:t>
      </w:r>
      <w:r w:rsidR="002F0AF4">
        <w:t>a</w:t>
      </w:r>
      <w:r w:rsidRPr="002F0AF4">
        <w:t>)</w:t>
      </w:r>
      <w:r w:rsidRPr="002F0AF4">
        <w:tab/>
        <w:t>olaylar, uygunsuzluklar, düzeltici faaliyetler ve sürekli iyileştirme,</w:t>
      </w:r>
      <w:r w:rsidR="009E767C" w:rsidRPr="002F0AF4">
        <w:t xml:space="preserve"> için gerekli formların doldurulduğu </w:t>
      </w:r>
      <w:r w:rsidR="00DD2ABF" w:rsidRPr="002F0AF4">
        <w:t>görülmüştür. Yeni uygunsuzluklar için ramak kala kutusu ve personel taleplerinin dikkate alınması kararlaştırıldı.</w:t>
      </w:r>
    </w:p>
    <w:p w:rsidR="00FB04D8" w:rsidRPr="002F0AF4" w:rsidRDefault="00FB04D8" w:rsidP="00FB04D8">
      <w:r w:rsidRPr="002F0AF4">
        <w:t xml:space="preserve">            </w:t>
      </w:r>
      <w:r w:rsidR="002F0AF4">
        <w:t>b</w:t>
      </w:r>
      <w:r w:rsidR="00DD2ABF" w:rsidRPr="002F0AF4">
        <w:t>)</w:t>
      </w:r>
      <w:r w:rsidR="00DD2ABF" w:rsidRPr="002F0AF4">
        <w:tab/>
        <w:t>izleme ve ölçme sonuçları için periyodik olarak anketler düzenlenmesi kararlaştırıldı.</w:t>
      </w:r>
    </w:p>
    <w:p w:rsidR="00FB04D8" w:rsidRPr="002F0AF4" w:rsidRDefault="00FB04D8" w:rsidP="00FB04D8">
      <w:r w:rsidRPr="002F0AF4">
        <w:t xml:space="preserve">            </w:t>
      </w:r>
      <w:r w:rsidR="002F0AF4">
        <w:t>c</w:t>
      </w:r>
      <w:r w:rsidRPr="002F0AF4">
        <w:t>)</w:t>
      </w:r>
      <w:r w:rsidRPr="002F0AF4">
        <w:tab/>
        <w:t>yasal şartlar ve diğer şartlara uy</w:t>
      </w:r>
      <w:r w:rsidR="009D74EE" w:rsidRPr="002F0AF4">
        <w:t>gunluğu değerlendirme sonuçları</w:t>
      </w:r>
      <w:r w:rsidR="00306BC8" w:rsidRPr="002F0AF4">
        <w:t xml:space="preserve"> için </w:t>
      </w:r>
      <w:r w:rsidR="005579D5" w:rsidRPr="002F0AF4">
        <w:t>gerekli formların doldurulması kararlaştırıldı.</w:t>
      </w:r>
    </w:p>
    <w:p w:rsidR="00FB04D8" w:rsidRPr="002F0AF4" w:rsidRDefault="00FB04D8" w:rsidP="00FB04D8">
      <w:r w:rsidRPr="002F0AF4">
        <w:t xml:space="preserve">            </w:t>
      </w:r>
      <w:r w:rsidR="002F0AF4">
        <w:t>d</w:t>
      </w:r>
      <w:r w:rsidR="002E2015" w:rsidRPr="002F0AF4">
        <w:t>)</w:t>
      </w:r>
      <w:r w:rsidR="002E2015" w:rsidRPr="002F0AF4">
        <w:tab/>
        <w:t>tetkik sonuçları</w:t>
      </w:r>
      <w:r w:rsidR="00F6080F" w:rsidRPr="002F0AF4">
        <w:t>nın iç tetkikçi ve dış tetkikçi değerlendirmelerine göre varsa tamamlanması kararlaştırıldı.</w:t>
      </w:r>
    </w:p>
    <w:p w:rsidR="00FB04D8" w:rsidRPr="002F0AF4" w:rsidRDefault="00FB04D8" w:rsidP="00FB04D8">
      <w:r w:rsidRPr="002F0AF4">
        <w:t xml:space="preserve">           </w:t>
      </w:r>
      <w:r w:rsidR="002F0AF4">
        <w:t>e</w:t>
      </w:r>
      <w:r w:rsidRPr="002F0AF4">
        <w:t>)</w:t>
      </w:r>
      <w:r w:rsidRPr="002F0AF4">
        <w:tab/>
        <w:t>danışma ve çal</w:t>
      </w:r>
      <w:r w:rsidR="000208E5" w:rsidRPr="002F0AF4">
        <w:t>ışanların katılımı için periyodik olarak anket düzenlenmesine karar verildi.</w:t>
      </w:r>
    </w:p>
    <w:p w:rsidR="00D55E5D" w:rsidRPr="002F0AF4" w:rsidRDefault="00FB04D8" w:rsidP="00FB04D8">
      <w:r w:rsidRPr="002F0AF4">
        <w:t xml:space="preserve">           </w:t>
      </w:r>
      <w:r w:rsidR="002F0AF4">
        <w:t>f</w:t>
      </w:r>
      <w:r w:rsidRPr="002F0AF4">
        <w:t>)</w:t>
      </w:r>
      <w:r w:rsidRPr="002F0AF4">
        <w:tab/>
        <w:t>risk ve fırsatlar,</w:t>
      </w:r>
      <w:r w:rsidR="00E65915" w:rsidRPr="002F0AF4">
        <w:t xml:space="preserve"> konusunda MEBBİS İSG modülündeki Riskler </w:t>
      </w:r>
      <w:r w:rsidR="00C82C28" w:rsidRPr="002F0AF4">
        <w:t xml:space="preserve">ve Ramak kala kayıtlarının titizlikle incelenerek </w:t>
      </w:r>
      <w:r w:rsidR="00CA20E9" w:rsidRPr="002F0AF4">
        <w:t>giderilmesine karar verildi.</w:t>
      </w:r>
    </w:p>
    <w:p w:rsidR="00FB04D8" w:rsidRPr="002F0AF4" w:rsidRDefault="00FB04D8"/>
    <w:p w:rsidR="00FB04D8" w:rsidRPr="002F0AF4" w:rsidRDefault="00FB04D8"/>
    <w:p w:rsidR="00D55E5D" w:rsidRPr="002F0AF4" w:rsidRDefault="00FB04D8">
      <w:r w:rsidRPr="002F0AF4">
        <w:t xml:space="preserve">      8-</w:t>
      </w:r>
      <w:r w:rsidR="00655D95" w:rsidRPr="002F0AF4">
        <w:t xml:space="preserve"> Etkin bir İSG yönetim sisteminin sürekliliği için kaynakların (özellikle Okul-Aile Birliği) yeterli olduğu </w:t>
      </w:r>
      <w:r w:rsidR="00C15B22" w:rsidRPr="002F0AF4">
        <w:t>ancak okul dışına öğrenci bisiklet parkı kurulması,Kule merdivenleri için trabzan yapılması,</w:t>
      </w:r>
      <w:r w:rsidR="00DD7350" w:rsidRPr="002F0AF4">
        <w:t xml:space="preserve"> </w:t>
      </w:r>
      <w:r w:rsidR="00C15B22" w:rsidRPr="002F0AF4">
        <w:t>Spor Salonunda camlar için file konulması gibi ekstra  işler için sponsor ve kaynak bulunmasının gerekli olduğu belirtildi.</w:t>
      </w:r>
    </w:p>
    <w:p w:rsidR="00FB04D8" w:rsidRPr="002F0AF4" w:rsidRDefault="00FB04D8"/>
    <w:p w:rsidR="00FB04D8" w:rsidRPr="002F0AF4" w:rsidRDefault="00FB04D8"/>
    <w:p w:rsidR="00FB04D8" w:rsidRPr="002F0AF4" w:rsidRDefault="00FB04D8" w:rsidP="00855DE0">
      <w:pPr>
        <w:jc w:val="both"/>
      </w:pPr>
      <w:r w:rsidRPr="002F0AF4">
        <w:t xml:space="preserve">      9-</w:t>
      </w:r>
      <w:r w:rsidR="0078685F" w:rsidRPr="002F0AF4">
        <w:tab/>
      </w:r>
      <w:r w:rsidR="00DD7350" w:rsidRPr="002F0AF4">
        <w:t>İlgili Taraflarla İletişimlerin telefon,yüzyüze ve dijital ortamda gerçekleştirilmesine karar verildi.</w:t>
      </w:r>
    </w:p>
    <w:p w:rsidR="00FB04D8" w:rsidRPr="002F0AF4" w:rsidRDefault="00FB04D8" w:rsidP="00855DE0">
      <w:pPr>
        <w:jc w:val="both"/>
      </w:pPr>
    </w:p>
    <w:p w:rsidR="00B65F27" w:rsidRPr="002F0AF4" w:rsidRDefault="00FB04D8" w:rsidP="00855DE0">
      <w:pPr>
        <w:jc w:val="both"/>
      </w:pPr>
      <w:r w:rsidRPr="002F0AF4">
        <w:t xml:space="preserve"> </w:t>
      </w:r>
    </w:p>
    <w:p w:rsidR="006E7961" w:rsidRPr="002F0AF4" w:rsidRDefault="00FB04D8" w:rsidP="006E7961">
      <w:r w:rsidRPr="002F0AF4">
        <w:t xml:space="preserve">      10-</w:t>
      </w:r>
      <w:r w:rsidR="006E7961" w:rsidRPr="002F0AF4">
        <w:t xml:space="preserve"> Sürekli İyileştirme İçin Fırsatlar</w:t>
      </w:r>
      <w:r w:rsidR="00AD00FE" w:rsidRPr="002F0AF4">
        <w:t>ın aşağıdaki gibi olduğu;</w:t>
      </w:r>
    </w:p>
    <w:p w:rsidR="006E7961" w:rsidRPr="002F0AF4" w:rsidRDefault="006E7961" w:rsidP="006E7961">
      <w:r w:rsidRPr="002F0AF4">
        <w:t>a)Acil durum İlk Yardım ekibinde yeterli sayıda İlk yardımcı eğitimi olan personelin olmaması</w:t>
      </w:r>
    </w:p>
    <w:p w:rsidR="006E7961" w:rsidRPr="002F0AF4" w:rsidRDefault="006E7961" w:rsidP="006E7961">
      <w:r w:rsidRPr="002F0AF4">
        <w:t>b)Acil durum Arama-Kurtarma ekibinde yeterli sayıda Arama-Kurtarma eğitimi olan personelin olmaması</w:t>
      </w:r>
    </w:p>
    <w:p w:rsidR="006E7961" w:rsidRPr="002F0AF4" w:rsidRDefault="006E7961" w:rsidP="006E7961">
      <w:r w:rsidRPr="002F0AF4">
        <w:t>c)Acil durum Yangın Söndürme ekibinde yeterli sayıda Arama-Kurtarma eğitimi olan personelin olmaması</w:t>
      </w:r>
    </w:p>
    <w:p w:rsidR="006E7961" w:rsidRPr="002F0AF4" w:rsidRDefault="006E7961" w:rsidP="006E7961">
      <w:r w:rsidRPr="002F0AF4">
        <w:rPr>
          <w:bCs/>
          <w:color w:val="161616"/>
        </w:rPr>
        <w:t>d)Personel değişikliği durumlarında gelen personelin tüm eğitimlerinin güncel olmaması</w:t>
      </w:r>
    </w:p>
    <w:p w:rsidR="006E7961" w:rsidRPr="002F0AF4" w:rsidRDefault="006E7961" w:rsidP="006E7961">
      <w:r w:rsidRPr="002F0AF4">
        <w:t>e)Ramak kala kayıtlarını (MEBBİS Riskleri) en aza indirmek.</w:t>
      </w:r>
    </w:p>
    <w:p w:rsidR="006E7961" w:rsidRPr="002F0AF4" w:rsidRDefault="006E7961" w:rsidP="006E7961">
      <w:r w:rsidRPr="002F0AF4">
        <w:t>f)Okul öğrenci mevcudunun fazla olması</w:t>
      </w:r>
    </w:p>
    <w:p w:rsidR="006E7961" w:rsidRPr="002F0AF4" w:rsidRDefault="006E7961" w:rsidP="006E7961">
      <w:r w:rsidRPr="002F0AF4">
        <w:t>g)Okul yangın uyarı sistemi ve acil çıkış ve toplanma alanları</w:t>
      </w:r>
    </w:p>
    <w:p w:rsidR="006E7961" w:rsidRPr="002F0AF4" w:rsidRDefault="006E7961" w:rsidP="006E7961">
      <w:r w:rsidRPr="002F0AF4">
        <w:t>h)Spor salonunun bağımsız bir bina olması (Ecza dolabı, yangın uyarı sistemi, elektrik panoları vb.)</w:t>
      </w:r>
    </w:p>
    <w:p w:rsidR="006E7961" w:rsidRPr="002F0AF4" w:rsidRDefault="006E7961" w:rsidP="006E7961">
      <w:r w:rsidRPr="002F0AF4">
        <w:t>i)Kantindeki riskler (hijyen eğitimi, KKD kullanımı, ilaçlama)</w:t>
      </w:r>
    </w:p>
    <w:p w:rsidR="00B65F27" w:rsidRPr="002F0AF4" w:rsidRDefault="006E7961" w:rsidP="006E7961">
      <w:pPr>
        <w:jc w:val="both"/>
      </w:pPr>
      <w:r w:rsidRPr="002F0AF4">
        <w:t>j)Pandemik ve Endemik Hastalıklar</w:t>
      </w:r>
      <w:r w:rsidR="00B33C86" w:rsidRPr="002F0AF4">
        <w:t xml:space="preserve"> </w:t>
      </w:r>
      <w:r w:rsidR="00F2472D">
        <w:t xml:space="preserve"> olduğu </w:t>
      </w:r>
    </w:p>
    <w:p w:rsidR="00B33C86" w:rsidRPr="002F0AF4" w:rsidRDefault="00B33C86" w:rsidP="006E7961">
      <w:pPr>
        <w:jc w:val="both"/>
      </w:pPr>
      <w:r w:rsidRPr="002F0AF4">
        <w:t>bunlar için hazırlıklar yapılması kararlaştırıldı.</w:t>
      </w:r>
    </w:p>
    <w:p w:rsidR="00FB04D8" w:rsidRPr="002F0AF4" w:rsidRDefault="00FB04D8" w:rsidP="00855DE0">
      <w:pPr>
        <w:jc w:val="both"/>
      </w:pPr>
    </w:p>
    <w:p w:rsidR="00FB04D8" w:rsidRPr="002F0AF4" w:rsidRDefault="00FB04D8" w:rsidP="00855DE0">
      <w:pPr>
        <w:jc w:val="both"/>
      </w:pPr>
    </w:p>
    <w:p w:rsidR="00B65F27" w:rsidRPr="002F0AF4" w:rsidRDefault="00FB04D8" w:rsidP="00855DE0">
      <w:pPr>
        <w:jc w:val="both"/>
      </w:pPr>
      <w:r w:rsidRPr="002F0AF4">
        <w:t xml:space="preserve">      11-</w:t>
      </w:r>
      <w:r w:rsidR="00751E97" w:rsidRPr="002F0AF4">
        <w:t xml:space="preserve"> Yönetimin gözden geçirmesine ait çıktılar</w:t>
      </w:r>
    </w:p>
    <w:p w:rsidR="00FB04D8" w:rsidRPr="002F0AF4" w:rsidRDefault="00FB04D8" w:rsidP="00FB04D8">
      <w:pPr>
        <w:jc w:val="both"/>
        <w:rPr>
          <w:sz w:val="22"/>
          <w:szCs w:val="22"/>
        </w:rPr>
      </w:pPr>
      <w:r w:rsidRPr="002F0AF4">
        <w:rPr>
          <w:sz w:val="22"/>
          <w:szCs w:val="22"/>
        </w:rPr>
        <w:t xml:space="preserve">  -amaçlanan çıktılara erişmede İSG yönetim sisteminin uygunluğu, yeterliliği ve etkinliğinin sürekliliği,</w:t>
      </w:r>
      <w:r w:rsidR="00751E97" w:rsidRPr="002F0AF4">
        <w:rPr>
          <w:sz w:val="22"/>
          <w:szCs w:val="22"/>
        </w:rPr>
        <w:t xml:space="preserve"> bunun için gerekli duyuru ve bilgilendirmelerin periyodik olarak yapılmasına karar verildi.</w:t>
      </w:r>
    </w:p>
    <w:p w:rsidR="00FB04D8" w:rsidRPr="002F0AF4" w:rsidRDefault="00FB04D8" w:rsidP="00FB04D8">
      <w:pPr>
        <w:jc w:val="both"/>
        <w:rPr>
          <w:sz w:val="22"/>
          <w:szCs w:val="22"/>
        </w:rPr>
      </w:pPr>
      <w:r w:rsidRPr="002F0AF4">
        <w:rPr>
          <w:sz w:val="22"/>
          <w:szCs w:val="22"/>
        </w:rPr>
        <w:t>-</w:t>
      </w:r>
      <w:r w:rsidR="00480139" w:rsidRPr="002F0AF4">
        <w:rPr>
          <w:sz w:val="22"/>
          <w:szCs w:val="22"/>
        </w:rPr>
        <w:tab/>
        <w:t>sürekli iyileştirme fırsatları için geri dönüş ve iletişim kanallarının düzenli olarak kullanılmasına karar verildi.</w:t>
      </w:r>
    </w:p>
    <w:p w:rsidR="00FB04D8" w:rsidRPr="002F0AF4" w:rsidRDefault="00FB04D8" w:rsidP="00FB04D8">
      <w:pPr>
        <w:jc w:val="both"/>
        <w:rPr>
          <w:sz w:val="22"/>
          <w:szCs w:val="22"/>
        </w:rPr>
      </w:pPr>
      <w:r w:rsidRPr="002F0AF4">
        <w:rPr>
          <w:sz w:val="22"/>
          <w:szCs w:val="22"/>
        </w:rPr>
        <w:t>-</w:t>
      </w:r>
      <w:r w:rsidRPr="002F0AF4">
        <w:rPr>
          <w:sz w:val="22"/>
          <w:szCs w:val="22"/>
        </w:rPr>
        <w:tab/>
        <w:t>İSG yönetim sistemine olan h</w:t>
      </w:r>
      <w:r w:rsidR="00376575" w:rsidRPr="002F0AF4">
        <w:rPr>
          <w:sz w:val="22"/>
          <w:szCs w:val="22"/>
        </w:rPr>
        <w:t>erhangi bir değişiklik ihtiyacının şimdilik gündemde olmadığı ve iç tetkikçilerin tavsiye ve yönlendirilmesine göre güncelleme revizyonun olabileceği hatırlatıldı.</w:t>
      </w:r>
    </w:p>
    <w:p w:rsidR="00FB04D8" w:rsidRPr="002F0AF4" w:rsidRDefault="003F4E0B" w:rsidP="00FB04D8">
      <w:pPr>
        <w:jc w:val="both"/>
        <w:rPr>
          <w:sz w:val="22"/>
          <w:szCs w:val="22"/>
        </w:rPr>
      </w:pPr>
      <w:r w:rsidRPr="002F0AF4">
        <w:rPr>
          <w:sz w:val="22"/>
          <w:szCs w:val="22"/>
        </w:rPr>
        <w:t>-</w:t>
      </w:r>
      <w:r w:rsidRPr="002F0AF4">
        <w:rPr>
          <w:sz w:val="22"/>
          <w:szCs w:val="22"/>
        </w:rPr>
        <w:tab/>
        <w:t>ihtiyaç duyulan kaynakların Okul-Aile Birliği imkanları olduğu ancak okul bahçesinde peyzaj çalışmaları için sponsora ihtiyaç duyulabileceği belirtildi.</w:t>
      </w:r>
    </w:p>
    <w:p w:rsidR="00FB04D8" w:rsidRPr="002F0AF4" w:rsidRDefault="00FB04D8" w:rsidP="00FB04D8">
      <w:pPr>
        <w:jc w:val="both"/>
      </w:pPr>
      <w:r w:rsidRPr="002F0AF4">
        <w:rPr>
          <w:sz w:val="22"/>
          <w:szCs w:val="22"/>
        </w:rPr>
        <w:t>-</w:t>
      </w:r>
      <w:r w:rsidRPr="002F0AF4">
        <w:rPr>
          <w:sz w:val="22"/>
          <w:szCs w:val="22"/>
        </w:rPr>
        <w:tab/>
        <w:t>faaliyetler, gerektiğinde</w:t>
      </w:r>
      <w:r w:rsidRPr="002F0AF4">
        <w:t>,</w:t>
      </w:r>
      <w:r w:rsidR="003A7495" w:rsidRPr="002F0AF4">
        <w:t xml:space="preserve"> dijital ve uzaktan eğitim ile olabileceği hatırlatıldı.</w:t>
      </w:r>
    </w:p>
    <w:p w:rsidR="00FB04D8" w:rsidRPr="002F0AF4" w:rsidRDefault="00FB04D8" w:rsidP="00FB04D8">
      <w:pPr>
        <w:jc w:val="both"/>
        <w:rPr>
          <w:sz w:val="22"/>
          <w:szCs w:val="22"/>
        </w:rPr>
      </w:pPr>
      <w:r w:rsidRPr="002F0AF4">
        <w:t>-</w:t>
      </w:r>
      <w:r w:rsidRPr="002F0AF4">
        <w:tab/>
      </w:r>
      <w:r w:rsidRPr="002F0AF4">
        <w:rPr>
          <w:sz w:val="22"/>
          <w:szCs w:val="22"/>
        </w:rPr>
        <w:t>diğer iş prosesleri ile İSG yönetim sisteminin entegrasyonu</w:t>
      </w:r>
      <w:r w:rsidR="003A460D" w:rsidRPr="002F0AF4">
        <w:rPr>
          <w:sz w:val="22"/>
          <w:szCs w:val="22"/>
        </w:rPr>
        <w:t xml:space="preserve">n geliştirilmesi için fırsatlar adına </w:t>
      </w:r>
      <w:r w:rsidR="004370D1" w:rsidRPr="002F0AF4">
        <w:rPr>
          <w:sz w:val="22"/>
          <w:szCs w:val="22"/>
        </w:rPr>
        <w:t xml:space="preserve">Proses sorumlularının </w:t>
      </w:r>
      <w:r w:rsidR="003A460D" w:rsidRPr="002F0AF4">
        <w:rPr>
          <w:sz w:val="22"/>
          <w:szCs w:val="22"/>
        </w:rPr>
        <w:t>birbirileri ile olan diyaloğunun devam etmesi için bir Whatsapp grubunun kurulması ve iş ve evrak takibinin bu şekilde hızlandırılabileceği kararlaştırıldı.</w:t>
      </w:r>
    </w:p>
    <w:p w:rsidR="00FB04D8" w:rsidRPr="002F0AF4" w:rsidRDefault="00FB04D8" w:rsidP="00FB04D8">
      <w:pPr>
        <w:jc w:val="both"/>
        <w:rPr>
          <w:sz w:val="22"/>
          <w:szCs w:val="22"/>
        </w:rPr>
      </w:pPr>
      <w:r w:rsidRPr="002F0AF4">
        <w:rPr>
          <w:sz w:val="22"/>
          <w:szCs w:val="22"/>
        </w:rPr>
        <w:t>-</w:t>
      </w:r>
      <w:r w:rsidRPr="002F0AF4">
        <w:rPr>
          <w:sz w:val="22"/>
          <w:szCs w:val="22"/>
        </w:rPr>
        <w:tab/>
        <w:t>kuruluşun stratejik yönü ile ilgili çıkarımlar</w:t>
      </w:r>
      <w:r w:rsidR="005B1DBD" w:rsidRPr="002F0AF4">
        <w:rPr>
          <w:sz w:val="22"/>
          <w:szCs w:val="22"/>
        </w:rPr>
        <w:t xml:space="preserve"> adına Kurum 2019-2023 Stratejik planının incelenmesi ve faydalanılması kararlaştırıldı.</w:t>
      </w:r>
    </w:p>
    <w:p w:rsidR="00FB04D8" w:rsidRPr="002F0AF4" w:rsidRDefault="00FB04D8" w:rsidP="00855DE0">
      <w:pPr>
        <w:jc w:val="both"/>
      </w:pPr>
    </w:p>
    <w:p w:rsidR="00B65F27" w:rsidRPr="002F0AF4" w:rsidRDefault="00FB04D8" w:rsidP="00855DE0">
      <w:pPr>
        <w:jc w:val="both"/>
      </w:pPr>
      <w:r w:rsidRPr="002F0AF4">
        <w:t xml:space="preserve">      12-</w:t>
      </w:r>
      <w:r w:rsidR="002F0AF4" w:rsidRPr="002F0AF4">
        <w:t>Bir sonraki toplantının 11/06/2020 tarihinde yapılmasına karar verilerek toplantı sona erdirildi.</w:t>
      </w:r>
    </w:p>
    <w:p w:rsidR="00B65F27" w:rsidRPr="002F0AF4" w:rsidRDefault="00B65F27" w:rsidP="00855DE0">
      <w:pPr>
        <w:jc w:val="both"/>
      </w:pPr>
    </w:p>
    <w:p w:rsidR="00E105AA" w:rsidRPr="002F0AF4" w:rsidRDefault="00E105AA" w:rsidP="00855DE0">
      <w:pPr>
        <w:jc w:val="both"/>
      </w:pPr>
    </w:p>
    <w:p w:rsidR="00C47F1A" w:rsidRPr="002F0AF4" w:rsidRDefault="00B65F27" w:rsidP="00855DE0">
      <w:pPr>
        <w:jc w:val="both"/>
      </w:pPr>
      <w:r w:rsidRPr="002F0AF4">
        <w:t xml:space="preserve">            </w:t>
      </w:r>
    </w:p>
    <w:p w:rsidR="00B65F27" w:rsidRPr="002F0AF4" w:rsidRDefault="00C47F1A" w:rsidP="008E4271">
      <w:pPr>
        <w:jc w:val="both"/>
      </w:pPr>
      <w:r w:rsidRPr="002F0AF4">
        <w:t xml:space="preserve">            </w:t>
      </w:r>
    </w:p>
    <w:p w:rsidR="00B65F27" w:rsidRPr="002F0AF4" w:rsidRDefault="00B65F27" w:rsidP="00F6607C">
      <w:pPr>
        <w:jc w:val="right"/>
      </w:pPr>
    </w:p>
    <w:p w:rsidR="0078685F" w:rsidRDefault="0078685F" w:rsidP="00C4704C">
      <w:r w:rsidRPr="002F0AF4">
        <w:tab/>
      </w:r>
      <w:r w:rsidRPr="002F0AF4">
        <w:tab/>
      </w:r>
      <w:r w:rsidRPr="002F0AF4">
        <w:tab/>
      </w:r>
    </w:p>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Default="008D77B8" w:rsidP="00C4704C"/>
    <w:p w:rsidR="008D77B8" w:rsidRPr="002F0AF4" w:rsidRDefault="008D77B8" w:rsidP="008D77B8"/>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8D77B8" w:rsidRPr="002F0AF4" w:rsidTr="00286C4E">
        <w:trPr>
          <w:trHeight w:val="372"/>
        </w:trPr>
        <w:tc>
          <w:tcPr>
            <w:tcW w:w="2694" w:type="dxa"/>
            <w:vAlign w:val="center"/>
          </w:tcPr>
          <w:p w:rsidR="008D77B8" w:rsidRPr="002F0AF4" w:rsidRDefault="008D77B8" w:rsidP="00286C4E">
            <w:pPr>
              <w:rPr>
                <w:szCs w:val="22"/>
              </w:rPr>
            </w:pPr>
            <w:r w:rsidRPr="002F0AF4">
              <w:rPr>
                <w:szCs w:val="22"/>
              </w:rPr>
              <w:t>Toplantı Yeri</w:t>
            </w:r>
          </w:p>
        </w:tc>
        <w:tc>
          <w:tcPr>
            <w:tcW w:w="6379" w:type="dxa"/>
            <w:vAlign w:val="center"/>
          </w:tcPr>
          <w:p w:rsidR="008D77B8" w:rsidRPr="002F0AF4" w:rsidRDefault="008D77B8" w:rsidP="00286C4E">
            <w:pPr>
              <w:rPr>
                <w:sz w:val="22"/>
                <w:szCs w:val="22"/>
              </w:rPr>
            </w:pPr>
            <w:r w:rsidRPr="002F0AF4">
              <w:rPr>
                <w:sz w:val="22"/>
                <w:szCs w:val="22"/>
              </w:rPr>
              <w:t>Vali Galip Demirel Ortaokulu Toplantı Salonu</w:t>
            </w:r>
          </w:p>
        </w:tc>
      </w:tr>
      <w:tr w:rsidR="008D77B8" w:rsidRPr="002F0AF4" w:rsidTr="00286C4E">
        <w:trPr>
          <w:trHeight w:val="372"/>
        </w:trPr>
        <w:tc>
          <w:tcPr>
            <w:tcW w:w="2694" w:type="dxa"/>
            <w:vAlign w:val="center"/>
          </w:tcPr>
          <w:p w:rsidR="008D77B8" w:rsidRPr="002F0AF4" w:rsidRDefault="008D77B8" w:rsidP="00286C4E">
            <w:pPr>
              <w:rPr>
                <w:szCs w:val="22"/>
              </w:rPr>
            </w:pPr>
            <w:r w:rsidRPr="002F0AF4">
              <w:rPr>
                <w:szCs w:val="22"/>
              </w:rPr>
              <w:t>Toplantı No</w:t>
            </w:r>
          </w:p>
        </w:tc>
        <w:tc>
          <w:tcPr>
            <w:tcW w:w="6379" w:type="dxa"/>
            <w:vAlign w:val="center"/>
          </w:tcPr>
          <w:p w:rsidR="008D77B8" w:rsidRPr="002F0AF4" w:rsidRDefault="00A212B9" w:rsidP="00286C4E">
            <w:pPr>
              <w:rPr>
                <w:sz w:val="22"/>
                <w:szCs w:val="22"/>
              </w:rPr>
            </w:pPr>
            <w:r>
              <w:rPr>
                <w:sz w:val="22"/>
                <w:szCs w:val="22"/>
              </w:rPr>
              <w:t>2</w:t>
            </w:r>
          </w:p>
        </w:tc>
      </w:tr>
      <w:tr w:rsidR="008D77B8" w:rsidRPr="002F0AF4" w:rsidTr="00286C4E">
        <w:trPr>
          <w:trHeight w:val="341"/>
        </w:trPr>
        <w:tc>
          <w:tcPr>
            <w:tcW w:w="2694" w:type="dxa"/>
            <w:vAlign w:val="center"/>
          </w:tcPr>
          <w:p w:rsidR="008D77B8" w:rsidRPr="002F0AF4" w:rsidRDefault="008D77B8" w:rsidP="00286C4E">
            <w:pPr>
              <w:rPr>
                <w:szCs w:val="22"/>
              </w:rPr>
            </w:pPr>
            <w:r w:rsidRPr="002F0AF4">
              <w:rPr>
                <w:szCs w:val="22"/>
              </w:rPr>
              <w:t>Tarih - Saat</w:t>
            </w:r>
          </w:p>
        </w:tc>
        <w:tc>
          <w:tcPr>
            <w:tcW w:w="6379" w:type="dxa"/>
            <w:vAlign w:val="center"/>
          </w:tcPr>
          <w:p w:rsidR="008D77B8" w:rsidRPr="002F0AF4" w:rsidRDefault="008D77B8" w:rsidP="00286C4E">
            <w:pPr>
              <w:rPr>
                <w:sz w:val="22"/>
                <w:szCs w:val="22"/>
              </w:rPr>
            </w:pPr>
            <w:r>
              <w:rPr>
                <w:sz w:val="22"/>
                <w:szCs w:val="22"/>
              </w:rPr>
              <w:t>09/09</w:t>
            </w:r>
            <w:r w:rsidRPr="002F0AF4">
              <w:rPr>
                <w:sz w:val="22"/>
                <w:szCs w:val="22"/>
              </w:rPr>
              <w:t>/2020</w:t>
            </w:r>
          </w:p>
        </w:tc>
      </w:tr>
    </w:tbl>
    <w:p w:rsidR="008D77B8" w:rsidRPr="002F0AF4" w:rsidRDefault="008D77B8" w:rsidP="008D77B8"/>
    <w:tbl>
      <w:tblPr>
        <w:tblpPr w:leftFromText="141" w:rightFromText="141" w:vertAnchor="text" w:horzAnchor="margin" w:tblpY="-59"/>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8505"/>
      </w:tblGrid>
      <w:tr w:rsidR="008D77B8" w:rsidRPr="002F0AF4" w:rsidTr="00286C4E">
        <w:trPr>
          <w:trHeight w:val="393"/>
        </w:trPr>
        <w:tc>
          <w:tcPr>
            <w:tcW w:w="568" w:type="dxa"/>
          </w:tcPr>
          <w:p w:rsidR="008D77B8" w:rsidRPr="002F0AF4" w:rsidRDefault="008D77B8" w:rsidP="00286C4E"/>
        </w:tc>
        <w:tc>
          <w:tcPr>
            <w:tcW w:w="8505" w:type="dxa"/>
            <w:vAlign w:val="center"/>
          </w:tcPr>
          <w:p w:rsidR="008D77B8" w:rsidRPr="002F0AF4" w:rsidRDefault="008D77B8" w:rsidP="00286C4E">
            <w:pPr>
              <w:jc w:val="center"/>
            </w:pPr>
            <w:r w:rsidRPr="002F0AF4">
              <w:t>YÖNETİMİ GÖZDEN GEÇİRME TOPLANTISI  GÜNDEM  MADDELERİ</w:t>
            </w:r>
          </w:p>
        </w:tc>
      </w:tr>
      <w:tr w:rsidR="008D77B8" w:rsidRPr="002F0AF4" w:rsidTr="00286C4E">
        <w:trPr>
          <w:trHeight w:val="281"/>
        </w:trPr>
        <w:tc>
          <w:tcPr>
            <w:tcW w:w="568" w:type="dxa"/>
            <w:vAlign w:val="center"/>
          </w:tcPr>
          <w:p w:rsidR="008D77B8" w:rsidRPr="002F0AF4" w:rsidRDefault="008D77B8" w:rsidP="008D77B8">
            <w:pPr>
              <w:jc w:val="both"/>
            </w:pPr>
            <w:r>
              <w:t>1</w:t>
            </w:r>
          </w:p>
        </w:tc>
        <w:tc>
          <w:tcPr>
            <w:tcW w:w="8505" w:type="dxa"/>
          </w:tcPr>
          <w:p w:rsidR="008D77B8" w:rsidRPr="002F0AF4" w:rsidRDefault="008D77B8" w:rsidP="00286C4E">
            <w:pPr>
              <w:tabs>
                <w:tab w:val="left" w:pos="4365"/>
              </w:tabs>
              <w:autoSpaceDE w:val="0"/>
              <w:autoSpaceDN w:val="0"/>
              <w:adjustRightInd w:val="0"/>
              <w:ind w:left="360" w:right="227"/>
              <w:rPr>
                <w:bCs/>
                <w:color w:val="000000"/>
              </w:rPr>
            </w:pPr>
            <w:r w:rsidRPr="002F0AF4">
              <w:rPr>
                <w:bCs/>
                <w:color w:val="000000"/>
              </w:rPr>
              <w:t xml:space="preserve">Açılış </w:t>
            </w:r>
          </w:p>
        </w:tc>
      </w:tr>
      <w:tr w:rsidR="008D77B8" w:rsidRPr="002F0AF4" w:rsidTr="00286C4E">
        <w:trPr>
          <w:trHeight w:val="260"/>
        </w:trPr>
        <w:tc>
          <w:tcPr>
            <w:tcW w:w="568" w:type="dxa"/>
            <w:vAlign w:val="center"/>
          </w:tcPr>
          <w:p w:rsidR="008D77B8" w:rsidRPr="002F0AF4" w:rsidRDefault="008D77B8" w:rsidP="008D77B8">
            <w:pPr>
              <w:jc w:val="both"/>
            </w:pPr>
            <w:r>
              <w:t>2</w:t>
            </w:r>
          </w:p>
        </w:tc>
        <w:tc>
          <w:tcPr>
            <w:tcW w:w="8505" w:type="dxa"/>
          </w:tcPr>
          <w:p w:rsidR="008D77B8" w:rsidRPr="002F0AF4" w:rsidRDefault="008D77B8" w:rsidP="00286C4E">
            <w:pPr>
              <w:tabs>
                <w:tab w:val="left" w:pos="4365"/>
              </w:tabs>
              <w:autoSpaceDE w:val="0"/>
              <w:autoSpaceDN w:val="0"/>
              <w:adjustRightInd w:val="0"/>
              <w:ind w:left="360" w:right="227"/>
              <w:rPr>
                <w:bCs/>
                <w:color w:val="000000"/>
              </w:rPr>
            </w:pPr>
            <w:r w:rsidRPr="002F0AF4">
              <w:rPr>
                <w:bCs/>
                <w:color w:val="000000"/>
              </w:rPr>
              <w:t xml:space="preserve">Yoklama </w:t>
            </w:r>
          </w:p>
        </w:tc>
      </w:tr>
      <w:tr w:rsidR="00A212B9" w:rsidRPr="002F0AF4" w:rsidTr="00286C4E">
        <w:trPr>
          <w:trHeight w:val="393"/>
        </w:trPr>
        <w:tc>
          <w:tcPr>
            <w:tcW w:w="568" w:type="dxa"/>
            <w:vAlign w:val="center"/>
          </w:tcPr>
          <w:p w:rsidR="00A212B9" w:rsidRPr="002F0AF4" w:rsidRDefault="00A212B9" w:rsidP="00A212B9">
            <w:pPr>
              <w:jc w:val="both"/>
            </w:pPr>
            <w:r>
              <w:t>3</w:t>
            </w:r>
          </w:p>
        </w:tc>
        <w:tc>
          <w:tcPr>
            <w:tcW w:w="8505" w:type="dxa"/>
          </w:tcPr>
          <w:p w:rsidR="00A212B9" w:rsidRPr="002F0AF4" w:rsidRDefault="00A212B9" w:rsidP="00A212B9">
            <w:pPr>
              <w:tabs>
                <w:tab w:val="left" w:pos="4365"/>
              </w:tabs>
              <w:autoSpaceDE w:val="0"/>
              <w:autoSpaceDN w:val="0"/>
              <w:adjustRightInd w:val="0"/>
              <w:ind w:left="360" w:right="227"/>
              <w:rPr>
                <w:bCs/>
                <w:color w:val="000000"/>
              </w:rPr>
            </w:pPr>
            <w:r w:rsidRPr="002F0AF4">
              <w:rPr>
                <w:rFonts w:eastAsia="Calibri"/>
                <w:lang w:eastAsia="en-US"/>
              </w:rPr>
              <w:t>Yasal ve Diğer Şartlar</w:t>
            </w:r>
          </w:p>
        </w:tc>
      </w:tr>
      <w:tr w:rsidR="00A212B9" w:rsidRPr="002F0AF4" w:rsidTr="00286C4E">
        <w:trPr>
          <w:trHeight w:val="308"/>
        </w:trPr>
        <w:tc>
          <w:tcPr>
            <w:tcW w:w="568" w:type="dxa"/>
            <w:vAlign w:val="center"/>
          </w:tcPr>
          <w:p w:rsidR="00A212B9" w:rsidRPr="002F0AF4" w:rsidRDefault="00A212B9" w:rsidP="00A212B9">
            <w:pPr>
              <w:jc w:val="both"/>
            </w:pPr>
            <w:r>
              <w:t>4</w:t>
            </w:r>
          </w:p>
        </w:tc>
        <w:tc>
          <w:tcPr>
            <w:tcW w:w="8505" w:type="dxa"/>
          </w:tcPr>
          <w:p w:rsidR="00A212B9" w:rsidRPr="002F0AF4" w:rsidRDefault="00A212B9" w:rsidP="00A212B9">
            <w:pPr>
              <w:tabs>
                <w:tab w:val="left" w:pos="4365"/>
              </w:tabs>
              <w:autoSpaceDE w:val="0"/>
              <w:autoSpaceDN w:val="0"/>
              <w:adjustRightInd w:val="0"/>
              <w:ind w:left="360" w:right="227"/>
              <w:rPr>
                <w:rFonts w:eastAsia="Calibri"/>
                <w:lang w:eastAsia="en-US"/>
              </w:rPr>
            </w:pPr>
            <w:r w:rsidRPr="002F0AF4">
              <w:rPr>
                <w:rFonts w:eastAsia="Calibri"/>
                <w:lang w:eastAsia="en-US"/>
              </w:rPr>
              <w:t>Riskler ve Fırsatlar</w:t>
            </w:r>
            <w:r>
              <w:rPr>
                <w:rFonts w:eastAsia="Calibri"/>
                <w:lang w:eastAsia="en-US"/>
              </w:rPr>
              <w:t xml:space="preserve"> (PANDEMİ DÖNEMİ)</w:t>
            </w:r>
          </w:p>
        </w:tc>
      </w:tr>
      <w:tr w:rsidR="00A212B9" w:rsidRPr="002F0AF4" w:rsidTr="00286C4E">
        <w:trPr>
          <w:trHeight w:val="271"/>
        </w:trPr>
        <w:tc>
          <w:tcPr>
            <w:tcW w:w="568" w:type="dxa"/>
            <w:vAlign w:val="center"/>
          </w:tcPr>
          <w:p w:rsidR="00A212B9" w:rsidRPr="002F0AF4" w:rsidRDefault="00A212B9" w:rsidP="00A212B9">
            <w:pPr>
              <w:jc w:val="both"/>
            </w:pPr>
            <w:r>
              <w:t>5</w:t>
            </w:r>
          </w:p>
        </w:tc>
        <w:tc>
          <w:tcPr>
            <w:tcW w:w="8505" w:type="dxa"/>
          </w:tcPr>
          <w:p w:rsidR="00A212B9" w:rsidRPr="002F0AF4" w:rsidRDefault="00A212B9" w:rsidP="00A212B9">
            <w:pPr>
              <w:tabs>
                <w:tab w:val="left" w:pos="4365"/>
              </w:tabs>
              <w:autoSpaceDE w:val="0"/>
              <w:autoSpaceDN w:val="0"/>
              <w:adjustRightInd w:val="0"/>
              <w:ind w:left="360" w:right="227"/>
            </w:pPr>
            <w:r w:rsidRPr="002F0AF4">
              <w:t>Kurumumuzun İSG Performansı Hakkında Bilgi</w:t>
            </w:r>
          </w:p>
        </w:tc>
      </w:tr>
      <w:tr w:rsidR="00A212B9" w:rsidRPr="002F0AF4" w:rsidTr="00385E36">
        <w:trPr>
          <w:trHeight w:val="393"/>
        </w:trPr>
        <w:tc>
          <w:tcPr>
            <w:tcW w:w="568" w:type="dxa"/>
            <w:vAlign w:val="center"/>
          </w:tcPr>
          <w:p w:rsidR="00A212B9" w:rsidRPr="002F0AF4" w:rsidRDefault="00A212B9" w:rsidP="00A212B9">
            <w:pPr>
              <w:jc w:val="both"/>
            </w:pPr>
            <w:r>
              <w:t>6</w:t>
            </w:r>
          </w:p>
        </w:tc>
        <w:tc>
          <w:tcPr>
            <w:tcW w:w="8505" w:type="dxa"/>
            <w:vAlign w:val="center"/>
          </w:tcPr>
          <w:p w:rsidR="00A212B9" w:rsidRPr="002F0AF4" w:rsidRDefault="00A212B9" w:rsidP="00A212B9">
            <w:pPr>
              <w:spacing w:line="360" w:lineRule="auto"/>
              <w:ind w:left="360"/>
            </w:pPr>
            <w:r w:rsidRPr="002F0AF4">
              <w:t>Etkin bir İSG yönetim sisteminin sürekliliği için kaynakların yeterliliği,</w:t>
            </w:r>
          </w:p>
        </w:tc>
      </w:tr>
      <w:tr w:rsidR="00A212B9" w:rsidRPr="002F0AF4" w:rsidTr="00720C62">
        <w:trPr>
          <w:trHeight w:val="393"/>
        </w:trPr>
        <w:tc>
          <w:tcPr>
            <w:tcW w:w="568" w:type="dxa"/>
            <w:vAlign w:val="center"/>
          </w:tcPr>
          <w:p w:rsidR="00A212B9" w:rsidRPr="002F0AF4" w:rsidRDefault="00A212B9" w:rsidP="00A212B9">
            <w:pPr>
              <w:jc w:val="both"/>
            </w:pPr>
            <w:r>
              <w:t>7</w:t>
            </w:r>
          </w:p>
        </w:tc>
        <w:tc>
          <w:tcPr>
            <w:tcW w:w="8505" w:type="dxa"/>
            <w:vAlign w:val="center"/>
          </w:tcPr>
          <w:p w:rsidR="00A212B9" w:rsidRPr="002F0AF4" w:rsidRDefault="00A212B9" w:rsidP="00A212B9">
            <w:pPr>
              <w:spacing w:line="360" w:lineRule="auto"/>
              <w:ind w:left="360"/>
            </w:pPr>
            <w:r w:rsidRPr="002F0AF4">
              <w:t>Sürekli İyileştirme İçin Fırsatlar</w:t>
            </w:r>
          </w:p>
        </w:tc>
      </w:tr>
      <w:tr w:rsidR="00A212B9" w:rsidRPr="002F0AF4" w:rsidTr="00286C4E">
        <w:trPr>
          <w:trHeight w:val="393"/>
        </w:trPr>
        <w:tc>
          <w:tcPr>
            <w:tcW w:w="568" w:type="dxa"/>
            <w:vAlign w:val="center"/>
          </w:tcPr>
          <w:p w:rsidR="00A212B9" w:rsidRPr="002F0AF4" w:rsidRDefault="00A212B9" w:rsidP="00A212B9">
            <w:pPr>
              <w:jc w:val="both"/>
            </w:pPr>
            <w:r>
              <w:t>8</w:t>
            </w:r>
          </w:p>
        </w:tc>
        <w:tc>
          <w:tcPr>
            <w:tcW w:w="8505" w:type="dxa"/>
            <w:vAlign w:val="center"/>
          </w:tcPr>
          <w:p w:rsidR="00A212B9" w:rsidRPr="002F0AF4" w:rsidRDefault="00A212B9" w:rsidP="00A212B9">
            <w:pPr>
              <w:spacing w:line="360" w:lineRule="auto"/>
              <w:ind w:left="360"/>
            </w:pPr>
            <w:r w:rsidRPr="002F0AF4">
              <w:t>Yönetimin gözden geçirmesine ait çıktılar</w:t>
            </w:r>
          </w:p>
        </w:tc>
      </w:tr>
      <w:tr w:rsidR="00A212B9" w:rsidRPr="002F0AF4" w:rsidTr="00286C4E">
        <w:trPr>
          <w:trHeight w:val="415"/>
        </w:trPr>
        <w:tc>
          <w:tcPr>
            <w:tcW w:w="568" w:type="dxa"/>
            <w:vAlign w:val="center"/>
          </w:tcPr>
          <w:p w:rsidR="00A212B9" w:rsidRPr="002F0AF4" w:rsidRDefault="00A212B9" w:rsidP="00A212B9">
            <w:pPr>
              <w:jc w:val="both"/>
            </w:pPr>
            <w:r>
              <w:t>9</w:t>
            </w:r>
          </w:p>
        </w:tc>
        <w:tc>
          <w:tcPr>
            <w:tcW w:w="8505" w:type="dxa"/>
            <w:vAlign w:val="center"/>
          </w:tcPr>
          <w:p w:rsidR="00A212B9" w:rsidRPr="002F0AF4" w:rsidRDefault="00A212B9" w:rsidP="00A212B9">
            <w:pPr>
              <w:spacing w:line="360" w:lineRule="auto"/>
              <w:ind w:left="360"/>
            </w:pPr>
            <w:r w:rsidRPr="002F0AF4">
              <w:t>Kapanış</w:t>
            </w:r>
          </w:p>
        </w:tc>
      </w:tr>
    </w:tbl>
    <w:p w:rsidR="008D77B8" w:rsidRPr="002F0AF4" w:rsidRDefault="008D77B8" w:rsidP="008D77B8">
      <w:r w:rsidRPr="002F0AF4">
        <w:t xml:space="preserve">  </w:t>
      </w:r>
    </w:p>
    <w:p w:rsidR="008D77B8" w:rsidRPr="002F0AF4" w:rsidRDefault="008D77B8" w:rsidP="008D77B8">
      <w:pPr>
        <w:jc w:val="both"/>
      </w:pPr>
      <w:r w:rsidRPr="002F0AF4">
        <w:t xml:space="preserve">       1. Açılış ve yoklama yapıldı.</w:t>
      </w:r>
    </w:p>
    <w:p w:rsidR="008D77B8" w:rsidRPr="002F0AF4" w:rsidRDefault="008D77B8" w:rsidP="008D77B8">
      <w:pPr>
        <w:jc w:val="both"/>
      </w:pPr>
    </w:p>
    <w:p w:rsidR="008D77B8" w:rsidRPr="002F0AF4" w:rsidRDefault="008D77B8" w:rsidP="008D77B8">
      <w:pPr>
        <w:jc w:val="both"/>
      </w:pPr>
      <w:r w:rsidRPr="002F0AF4">
        <w:t xml:space="preserve">       2.Toplantı Okul Müdürü Hamit KAPAN başkanlığında başladı.Toplantıya katılımın tam olduğu görüldü. </w:t>
      </w:r>
    </w:p>
    <w:p w:rsidR="008D77B8" w:rsidRPr="002F0AF4" w:rsidRDefault="008D77B8" w:rsidP="008D77B8">
      <w:pPr>
        <w:jc w:val="both"/>
      </w:pPr>
    </w:p>
    <w:p w:rsidR="008D77B8" w:rsidRPr="002F0AF4" w:rsidRDefault="00A212B9" w:rsidP="00A212B9">
      <w:pPr>
        <w:jc w:val="both"/>
      </w:pPr>
      <w:r>
        <w:t xml:space="preserve">      3- </w:t>
      </w:r>
      <w:r w:rsidR="008D77B8" w:rsidRPr="002F0AF4">
        <w:t>Mevzuat takibi ile ilgili olarak Kalite Temsilcisi Aydın Erdem TOKAY bilgi verdi. İSG yasal ve diğer şartları belirleme prosesi sorumlu olmasına karar verildi. Bundan sonraki toplantılarda ilgili proses sorumlusunun çalışma yapması kararlaştırıldı.</w:t>
      </w:r>
    </w:p>
    <w:p w:rsidR="008D77B8" w:rsidRPr="002F0AF4" w:rsidRDefault="008D77B8" w:rsidP="008D77B8">
      <w:pPr>
        <w:jc w:val="both"/>
      </w:pPr>
    </w:p>
    <w:p w:rsidR="00A212B9" w:rsidRDefault="008D77B8" w:rsidP="008D77B8">
      <w:r w:rsidRPr="002F0AF4">
        <w:t xml:space="preserve">      </w:t>
      </w:r>
      <w:r w:rsidR="00A212B9">
        <w:t>4</w:t>
      </w:r>
      <w:r w:rsidRPr="002F0AF4">
        <w:t>-MEBBİS İSG modülünde bulunan risk ve fırsatlar için gerekli Ramak Kala olayları, düzeltici faaliyet formlarının eksiksiz bir şekilde doldurulması kararlaştırıldı.</w:t>
      </w:r>
      <w:r w:rsidR="00A212B9">
        <w:t xml:space="preserve"> Covid-</w:t>
      </w:r>
      <w:r>
        <w:t xml:space="preserve"> 19 Salgını ile ortaya çıkan hastalık riski ve bunun için okulumuzda alınacak tedbirler konuşuldu. Buna göre;</w:t>
      </w:r>
      <w:r w:rsidR="00A212B9">
        <w:t xml:space="preserve"> </w:t>
      </w:r>
      <w:r>
        <w:t xml:space="preserve">baskıları yapılan ve asılan uyarı levhaları </w:t>
      </w:r>
      <w:r w:rsidR="0089379A">
        <w:t>ile dezenfektan işlemleri düzenli olarak ilgili personel ile takip edilmesi ve öğretmenler kurulu toplantısında değerlendirilmesi kararlaştırıldı.</w:t>
      </w:r>
    </w:p>
    <w:p w:rsidR="00A212B9" w:rsidRDefault="00A212B9" w:rsidP="008D77B8"/>
    <w:p w:rsidR="008D77B8" w:rsidRPr="002F0AF4" w:rsidRDefault="008D77B8" w:rsidP="008D77B8">
      <w:r w:rsidRPr="002F0AF4">
        <w:t xml:space="preserve">  </w:t>
      </w:r>
      <w:r w:rsidR="00A212B9">
        <w:t>5</w:t>
      </w:r>
      <w:r w:rsidRPr="002F0AF4">
        <w:t>- Kurumumuzun İSG Performansı Hakkında Bilgi ile ilgili olarak;</w:t>
      </w:r>
    </w:p>
    <w:p w:rsidR="008D77B8" w:rsidRPr="002F0AF4" w:rsidRDefault="008D77B8" w:rsidP="008D77B8"/>
    <w:p w:rsidR="008D77B8" w:rsidRPr="002F0AF4" w:rsidRDefault="008D77B8" w:rsidP="008D77B8">
      <w:r w:rsidRPr="002F0AF4">
        <w:t xml:space="preserve">            </w:t>
      </w:r>
      <w:r>
        <w:t>a</w:t>
      </w:r>
      <w:r w:rsidRPr="002F0AF4">
        <w:t>)</w:t>
      </w:r>
      <w:r w:rsidRPr="002F0AF4">
        <w:tab/>
        <w:t xml:space="preserve">olaylar, uygunsuzluklar, düzeltici faaliyetler ve sürekli iyileştirme, için gerekli formların doldurulduğu görülmüştür. Yeni uygunsuzluklar için </w:t>
      </w:r>
      <w:r w:rsidR="00A212B9">
        <w:t xml:space="preserve">yine </w:t>
      </w:r>
      <w:r w:rsidRPr="002F0AF4">
        <w:t>ramak kala kutusu ve personel taleplerinin dikkate alınması kararlaştırıldı.</w:t>
      </w:r>
    </w:p>
    <w:p w:rsidR="008D77B8" w:rsidRPr="002F0AF4" w:rsidRDefault="008D77B8" w:rsidP="008D77B8">
      <w:r w:rsidRPr="002F0AF4">
        <w:t xml:space="preserve">            </w:t>
      </w:r>
      <w:r>
        <w:t>b</w:t>
      </w:r>
      <w:r w:rsidRPr="002F0AF4">
        <w:t>)</w:t>
      </w:r>
      <w:r w:rsidRPr="002F0AF4">
        <w:tab/>
        <w:t>izleme ve ölçme sonuçları için periyodik olarak anketler düzenlenmesi kararlaştırıldı.</w:t>
      </w:r>
    </w:p>
    <w:p w:rsidR="008D77B8" w:rsidRPr="002F0AF4" w:rsidRDefault="008D77B8" w:rsidP="008D77B8">
      <w:r w:rsidRPr="002F0AF4">
        <w:t xml:space="preserve">            </w:t>
      </w:r>
      <w:r>
        <w:t>c</w:t>
      </w:r>
      <w:r w:rsidRPr="002F0AF4">
        <w:t>)</w:t>
      </w:r>
      <w:r w:rsidRPr="002F0AF4">
        <w:tab/>
        <w:t>yasal şartlar ve diğer şartlara uygunluğu değerlendirme sonuçları için gerekli formların doldurulması kararlaştırıldı.</w:t>
      </w:r>
    </w:p>
    <w:p w:rsidR="008D77B8" w:rsidRPr="002F0AF4" w:rsidRDefault="008D77B8" w:rsidP="008D77B8">
      <w:r w:rsidRPr="002F0AF4">
        <w:t xml:space="preserve">            </w:t>
      </w:r>
      <w:r>
        <w:t>d</w:t>
      </w:r>
      <w:r w:rsidRPr="002F0AF4">
        <w:t>)</w:t>
      </w:r>
      <w:r w:rsidRPr="002F0AF4">
        <w:tab/>
        <w:t>tetkik sonuçlarının iç tetkikçi ve dış tetkikçi değerlendirmelerine göre varsa tamamlanması kararlaştırıldı.</w:t>
      </w:r>
    </w:p>
    <w:p w:rsidR="008D77B8" w:rsidRPr="002F0AF4" w:rsidRDefault="008D77B8" w:rsidP="008D77B8">
      <w:r w:rsidRPr="002F0AF4">
        <w:t xml:space="preserve">           </w:t>
      </w:r>
      <w:r>
        <w:t>e</w:t>
      </w:r>
      <w:r w:rsidRPr="002F0AF4">
        <w:t>)</w:t>
      </w:r>
      <w:r w:rsidRPr="002F0AF4">
        <w:tab/>
        <w:t>danışma ve çalışanların katılımı için periyodik olarak anket düzenlenmesine karar verildi.</w:t>
      </w:r>
    </w:p>
    <w:p w:rsidR="008D77B8" w:rsidRPr="002F0AF4" w:rsidRDefault="008D77B8" w:rsidP="008D77B8">
      <w:r w:rsidRPr="002F0AF4">
        <w:t xml:space="preserve">           </w:t>
      </w:r>
      <w:r>
        <w:t>f</w:t>
      </w:r>
      <w:r w:rsidRPr="002F0AF4">
        <w:t>)</w:t>
      </w:r>
      <w:r w:rsidRPr="002F0AF4">
        <w:tab/>
        <w:t>risk ve fırsatlar, konusunda MEBBİS İSG modülündeki Riskler ve Ramak kala kayıtlarının titizlikle incelenerek giderilmesine karar verildi.</w:t>
      </w:r>
    </w:p>
    <w:p w:rsidR="008D77B8" w:rsidRPr="002F0AF4" w:rsidRDefault="008D77B8" w:rsidP="008D77B8"/>
    <w:p w:rsidR="008D77B8" w:rsidRPr="002F0AF4" w:rsidRDefault="008D77B8" w:rsidP="00A212B9">
      <w:r w:rsidRPr="002F0AF4">
        <w:t xml:space="preserve">      </w:t>
      </w:r>
      <w:r w:rsidR="00A212B9">
        <w:t>6</w:t>
      </w:r>
      <w:r w:rsidRPr="002F0AF4">
        <w:t>- Etkin bir İSG yönetim sisteminin sürekliliği için kaynakların (özellikle Okul-Aile Birliği) yeterli olduğu ancak okul dışına öğrenci bisiklet parkı kurulması,Kule merdivenleri için trabzan yapılması, Spor Salonunda camlar için file konulması gibi ekstra  işler için sponsor ve kaynak bulunmasının gerekli olduğu belirtildi.</w:t>
      </w:r>
    </w:p>
    <w:p w:rsidR="008D77B8" w:rsidRPr="002F0AF4" w:rsidRDefault="008D77B8" w:rsidP="008D77B8">
      <w:pPr>
        <w:jc w:val="both"/>
      </w:pPr>
      <w:r w:rsidRPr="002F0AF4">
        <w:t xml:space="preserve"> </w:t>
      </w:r>
    </w:p>
    <w:p w:rsidR="008D77B8" w:rsidRPr="002F0AF4" w:rsidRDefault="008D77B8" w:rsidP="008D77B8">
      <w:r w:rsidRPr="002F0AF4">
        <w:t xml:space="preserve">      </w:t>
      </w:r>
      <w:r w:rsidR="00A212B9">
        <w:t>7</w:t>
      </w:r>
      <w:r w:rsidRPr="002F0AF4">
        <w:t>- Sürekli İyileştirme İçin Fırsatların aşağıdaki gibi olduğu;</w:t>
      </w:r>
    </w:p>
    <w:p w:rsidR="008D77B8" w:rsidRPr="002F0AF4" w:rsidRDefault="00A212B9" w:rsidP="008D77B8">
      <w:r>
        <w:t>a)</w:t>
      </w:r>
      <w:r w:rsidR="008D77B8" w:rsidRPr="002F0AF4">
        <w:t>Ramak kala kayıtlarını (MEBBİS Riskleri) en aza indirmek.</w:t>
      </w:r>
    </w:p>
    <w:p w:rsidR="008D77B8" w:rsidRPr="002F0AF4" w:rsidRDefault="00A212B9" w:rsidP="008D77B8">
      <w:r>
        <w:t>b</w:t>
      </w:r>
      <w:r w:rsidR="008D77B8" w:rsidRPr="002F0AF4">
        <w:t>)Okul öğrenci mevcudunun fazla olması</w:t>
      </w:r>
    </w:p>
    <w:p w:rsidR="008D77B8" w:rsidRPr="002F0AF4" w:rsidRDefault="00A212B9" w:rsidP="008D77B8">
      <w:r>
        <w:t>c</w:t>
      </w:r>
      <w:r w:rsidR="008D77B8" w:rsidRPr="002F0AF4">
        <w:t>)Spor salonunun bağımsız bir bina olması (Ecza dolabı, yangın uyarı sistemi, elektrik panoları vb.)</w:t>
      </w:r>
    </w:p>
    <w:p w:rsidR="008D77B8" w:rsidRPr="002F0AF4" w:rsidRDefault="00A212B9" w:rsidP="008D77B8">
      <w:r>
        <w:t>d</w:t>
      </w:r>
      <w:r w:rsidR="008D77B8" w:rsidRPr="002F0AF4">
        <w:t>)Kantindeki riskler (hijyen eğitimi, KKD kullanımı, ilaçlama)</w:t>
      </w:r>
    </w:p>
    <w:p w:rsidR="008D77B8" w:rsidRPr="002F0AF4" w:rsidRDefault="00A212B9" w:rsidP="008D77B8">
      <w:pPr>
        <w:jc w:val="both"/>
      </w:pPr>
      <w:r>
        <w:t>e</w:t>
      </w:r>
      <w:r w:rsidR="008D77B8" w:rsidRPr="002F0AF4">
        <w:t xml:space="preserve">)Pandemik ve Endemik Hastalıklar </w:t>
      </w:r>
      <w:r w:rsidR="008D77B8">
        <w:t xml:space="preserve">olduğu </w:t>
      </w:r>
    </w:p>
    <w:p w:rsidR="008D77B8" w:rsidRPr="002F0AF4" w:rsidRDefault="008D77B8" w:rsidP="008D77B8">
      <w:pPr>
        <w:jc w:val="both"/>
      </w:pPr>
      <w:r w:rsidRPr="002F0AF4">
        <w:t>bunlar için hazırlıklar yapılması kararlaştırıldı.</w:t>
      </w:r>
    </w:p>
    <w:p w:rsidR="008D77B8" w:rsidRPr="002F0AF4" w:rsidRDefault="008D77B8" w:rsidP="008D77B8">
      <w:pPr>
        <w:jc w:val="both"/>
      </w:pPr>
    </w:p>
    <w:p w:rsidR="008D77B8" w:rsidRPr="002F0AF4" w:rsidRDefault="008D77B8" w:rsidP="008D77B8">
      <w:pPr>
        <w:jc w:val="both"/>
      </w:pPr>
      <w:r w:rsidRPr="002F0AF4">
        <w:t xml:space="preserve">      </w:t>
      </w:r>
      <w:r w:rsidR="00A212B9">
        <w:t>8</w:t>
      </w:r>
      <w:r w:rsidRPr="002F0AF4">
        <w:t>- Yönetimin gözden geçirmesine ait çıktılar</w:t>
      </w:r>
    </w:p>
    <w:p w:rsidR="008D77B8" w:rsidRPr="002F0AF4" w:rsidRDefault="008D77B8" w:rsidP="008D77B8">
      <w:pPr>
        <w:jc w:val="both"/>
        <w:rPr>
          <w:sz w:val="22"/>
          <w:szCs w:val="22"/>
        </w:rPr>
      </w:pPr>
      <w:r w:rsidRPr="002F0AF4">
        <w:rPr>
          <w:sz w:val="22"/>
          <w:szCs w:val="22"/>
        </w:rPr>
        <w:t xml:space="preserve">  -amaçlanan çıktılara erişmede İSG yönetim sisteminin uygunluğu, yeterliliği ve etkinliğinin sürekliliği, bunun için gerekli duyuru ve bilgilendirmelerin periyodik olarak yapılmasına karar verildi.</w:t>
      </w:r>
    </w:p>
    <w:p w:rsidR="008D77B8" w:rsidRPr="002F0AF4" w:rsidRDefault="008D77B8" w:rsidP="008D77B8">
      <w:pPr>
        <w:jc w:val="both"/>
        <w:rPr>
          <w:sz w:val="22"/>
          <w:szCs w:val="22"/>
        </w:rPr>
      </w:pPr>
      <w:r w:rsidRPr="002F0AF4">
        <w:rPr>
          <w:sz w:val="22"/>
          <w:szCs w:val="22"/>
        </w:rPr>
        <w:t>-</w:t>
      </w:r>
      <w:r w:rsidRPr="002F0AF4">
        <w:rPr>
          <w:sz w:val="22"/>
          <w:szCs w:val="22"/>
        </w:rPr>
        <w:tab/>
        <w:t>sürekli iyileştirme fırsatları için geri dönüş ve iletişim kanallarının düzenli olarak kullanılmasına karar verildi.</w:t>
      </w:r>
    </w:p>
    <w:p w:rsidR="008D77B8" w:rsidRPr="002F0AF4" w:rsidRDefault="008D77B8" w:rsidP="008D77B8">
      <w:pPr>
        <w:jc w:val="both"/>
        <w:rPr>
          <w:sz w:val="22"/>
          <w:szCs w:val="22"/>
        </w:rPr>
      </w:pPr>
      <w:r w:rsidRPr="002F0AF4">
        <w:rPr>
          <w:sz w:val="22"/>
          <w:szCs w:val="22"/>
        </w:rPr>
        <w:t>-</w:t>
      </w:r>
      <w:r w:rsidRPr="002F0AF4">
        <w:rPr>
          <w:sz w:val="22"/>
          <w:szCs w:val="22"/>
        </w:rPr>
        <w:tab/>
        <w:t>İSG yönetim sistemine olan herhangi bir değişiklik ihtiyacının şimdilik gündemde olmadığı ve iç tetkikçilerin tavsiye ve yönlendirilmesine göre güncelleme revizyonun olabileceği hatırlatıldı.</w:t>
      </w:r>
    </w:p>
    <w:p w:rsidR="008D77B8" w:rsidRPr="002F0AF4" w:rsidRDefault="008D77B8" w:rsidP="008D77B8">
      <w:pPr>
        <w:jc w:val="both"/>
        <w:rPr>
          <w:sz w:val="22"/>
          <w:szCs w:val="22"/>
        </w:rPr>
      </w:pPr>
      <w:r w:rsidRPr="002F0AF4">
        <w:rPr>
          <w:sz w:val="22"/>
          <w:szCs w:val="22"/>
        </w:rPr>
        <w:t>-</w:t>
      </w:r>
      <w:r w:rsidRPr="002F0AF4">
        <w:rPr>
          <w:sz w:val="22"/>
          <w:szCs w:val="22"/>
        </w:rPr>
        <w:tab/>
        <w:t>ihtiyaç duyulan kaynakların Okul-Aile Birliği imkanları olduğu ancak okul bahçesinde peyzaj çalışmaları için sponsora ihtiyaç duyulabileceği belirtildi.</w:t>
      </w:r>
    </w:p>
    <w:p w:rsidR="008D77B8" w:rsidRPr="002F0AF4" w:rsidRDefault="008D77B8" w:rsidP="008D77B8">
      <w:pPr>
        <w:jc w:val="both"/>
      </w:pPr>
      <w:r w:rsidRPr="002F0AF4">
        <w:rPr>
          <w:sz w:val="22"/>
          <w:szCs w:val="22"/>
        </w:rPr>
        <w:t>-</w:t>
      </w:r>
      <w:r w:rsidRPr="002F0AF4">
        <w:rPr>
          <w:sz w:val="22"/>
          <w:szCs w:val="22"/>
        </w:rPr>
        <w:tab/>
        <w:t>faaliyetler, gerektiğinde</w:t>
      </w:r>
      <w:r w:rsidRPr="002F0AF4">
        <w:t>, dijital ve uzaktan eğitim ile olabileceği hatırlatıldı.</w:t>
      </w:r>
    </w:p>
    <w:p w:rsidR="008D77B8" w:rsidRDefault="008D77B8" w:rsidP="008D77B8">
      <w:pPr>
        <w:jc w:val="both"/>
        <w:rPr>
          <w:sz w:val="22"/>
          <w:szCs w:val="22"/>
        </w:rPr>
      </w:pPr>
      <w:r w:rsidRPr="002F0AF4">
        <w:t>-</w:t>
      </w:r>
      <w:r w:rsidRPr="002F0AF4">
        <w:tab/>
      </w:r>
      <w:r w:rsidRPr="002F0AF4">
        <w:rPr>
          <w:sz w:val="22"/>
          <w:szCs w:val="22"/>
        </w:rPr>
        <w:t>diğer iş prosesleri ile İSG yönetim sisteminin entegrasyonun geliştirilmesi için fırsatlar adına Proses sorumlularının birbirileri ile olan diyaloğunun devam etmesi için bir Whatsapp grubunun kurulması ve iş ve evrak takibinin bu şekilde hızlandırılabileceği kararlaştırıldı.</w:t>
      </w:r>
    </w:p>
    <w:p w:rsidR="0089379A" w:rsidRPr="0089379A" w:rsidRDefault="0089379A" w:rsidP="008D77B8">
      <w:pPr>
        <w:jc w:val="both"/>
        <w:rPr>
          <w:sz w:val="22"/>
          <w:szCs w:val="22"/>
        </w:rPr>
      </w:pPr>
    </w:p>
    <w:p w:rsidR="008D77B8" w:rsidRPr="002F0AF4" w:rsidRDefault="008D77B8" w:rsidP="008D77B8">
      <w:pPr>
        <w:jc w:val="both"/>
      </w:pPr>
      <w:r w:rsidRPr="002F0AF4">
        <w:t xml:space="preserve">      </w:t>
      </w:r>
      <w:r w:rsidR="00A212B9">
        <w:t>9</w:t>
      </w:r>
      <w:r w:rsidRPr="002F0AF4">
        <w:t xml:space="preserve">-Bir sonraki toplantının </w:t>
      </w:r>
      <w:r w:rsidR="0089379A">
        <w:t>15/03/2021</w:t>
      </w:r>
      <w:r w:rsidRPr="002F0AF4">
        <w:t xml:space="preserve"> tarihinde yapılmasına karar verilerek toplantı sona erdirildi.</w:t>
      </w:r>
    </w:p>
    <w:p w:rsidR="008D77B8" w:rsidRPr="002F0AF4" w:rsidRDefault="008D77B8" w:rsidP="008D77B8">
      <w:pPr>
        <w:jc w:val="both"/>
      </w:pPr>
    </w:p>
    <w:p w:rsidR="008D77B8" w:rsidRPr="002F0AF4" w:rsidRDefault="008D77B8" w:rsidP="008D77B8">
      <w:pPr>
        <w:jc w:val="both"/>
      </w:pPr>
    </w:p>
    <w:p w:rsidR="008D77B8" w:rsidRPr="002F0AF4" w:rsidRDefault="008D77B8" w:rsidP="008D77B8">
      <w:pPr>
        <w:jc w:val="both"/>
      </w:pPr>
      <w:r w:rsidRPr="002F0AF4">
        <w:t xml:space="preserve">            </w:t>
      </w:r>
    </w:p>
    <w:p w:rsidR="008D77B8" w:rsidRPr="002F0AF4" w:rsidRDefault="008D77B8" w:rsidP="008D77B8">
      <w:pPr>
        <w:jc w:val="both"/>
      </w:pPr>
      <w:r w:rsidRPr="002F0AF4">
        <w:t xml:space="preserve">            </w:t>
      </w:r>
    </w:p>
    <w:p w:rsidR="008D77B8" w:rsidRPr="002F0AF4" w:rsidRDefault="008D77B8" w:rsidP="008D77B8">
      <w:pPr>
        <w:jc w:val="right"/>
      </w:pPr>
    </w:p>
    <w:p w:rsidR="008D77B8" w:rsidRPr="002F0AF4" w:rsidRDefault="008D77B8" w:rsidP="00C4704C">
      <w:r w:rsidRPr="002F0AF4">
        <w:tab/>
      </w:r>
      <w:r w:rsidRPr="002F0AF4">
        <w:tab/>
      </w:r>
      <w:r w:rsidRPr="002F0AF4">
        <w:tab/>
      </w:r>
    </w:p>
    <w:sectPr w:rsidR="008D77B8" w:rsidRPr="002F0AF4" w:rsidSect="00C0092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16F6" w:rsidRDefault="003C16F6" w:rsidP="00D55E5D">
      <w:r>
        <w:separator/>
      </w:r>
    </w:p>
  </w:endnote>
  <w:endnote w:type="continuationSeparator" w:id="0">
    <w:p w:rsidR="003C16F6" w:rsidRDefault="003C16F6" w:rsidP="00D5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1C8A" w:rsidRDefault="00711C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2"/>
      <w:gridCol w:w="4393"/>
    </w:tblGrid>
    <w:tr w:rsidR="00C47F1A" w:rsidTr="00C47F1A">
      <w:trPr>
        <w:trHeight w:val="72"/>
        <w:jc w:val="center"/>
      </w:trPr>
      <w:tc>
        <w:tcPr>
          <w:tcW w:w="4392" w:type="dxa"/>
          <w:tcBorders>
            <w:top w:val="single" w:sz="4" w:space="0" w:color="auto"/>
            <w:left w:val="single" w:sz="4" w:space="0" w:color="auto"/>
            <w:bottom w:val="single" w:sz="4" w:space="0" w:color="auto"/>
            <w:right w:val="single" w:sz="4" w:space="0" w:color="auto"/>
          </w:tcBorders>
          <w:vAlign w:val="center"/>
          <w:hideMark/>
        </w:tcPr>
        <w:p w:rsidR="00C47F1A" w:rsidRDefault="00C47F1A" w:rsidP="00463158">
          <w:pPr>
            <w:jc w:val="center"/>
            <w:rPr>
              <w:b/>
              <w:sz w:val="20"/>
              <w:szCs w:val="20"/>
            </w:rPr>
          </w:pPr>
          <w:r>
            <w:rPr>
              <w:b/>
              <w:sz w:val="20"/>
              <w:szCs w:val="20"/>
            </w:rPr>
            <w:t>HAZIRLAYAN</w:t>
          </w:r>
        </w:p>
      </w:tc>
      <w:tc>
        <w:tcPr>
          <w:tcW w:w="4393" w:type="dxa"/>
          <w:tcBorders>
            <w:top w:val="single" w:sz="4" w:space="0" w:color="auto"/>
            <w:left w:val="single" w:sz="4" w:space="0" w:color="auto"/>
            <w:bottom w:val="single" w:sz="4" w:space="0" w:color="auto"/>
            <w:right w:val="single" w:sz="4" w:space="0" w:color="auto"/>
          </w:tcBorders>
          <w:vAlign w:val="center"/>
          <w:hideMark/>
        </w:tcPr>
        <w:p w:rsidR="00C47F1A" w:rsidRDefault="00C47F1A" w:rsidP="00463158">
          <w:pPr>
            <w:jc w:val="center"/>
            <w:rPr>
              <w:sz w:val="20"/>
              <w:szCs w:val="20"/>
            </w:rPr>
          </w:pPr>
          <w:r>
            <w:rPr>
              <w:b/>
              <w:sz w:val="20"/>
              <w:szCs w:val="20"/>
            </w:rPr>
            <w:t>ONAYLAYAN</w:t>
          </w:r>
        </w:p>
      </w:tc>
    </w:tr>
    <w:tr w:rsidR="00C47F1A" w:rsidTr="00C47F1A">
      <w:trPr>
        <w:trHeight w:val="513"/>
        <w:jc w:val="center"/>
      </w:trPr>
      <w:tc>
        <w:tcPr>
          <w:tcW w:w="4392" w:type="dxa"/>
          <w:tcBorders>
            <w:top w:val="single" w:sz="4" w:space="0" w:color="auto"/>
            <w:left w:val="single" w:sz="4" w:space="0" w:color="auto"/>
            <w:bottom w:val="single" w:sz="4" w:space="0" w:color="auto"/>
            <w:right w:val="single" w:sz="4" w:space="0" w:color="auto"/>
          </w:tcBorders>
          <w:hideMark/>
        </w:tcPr>
        <w:p w:rsidR="00C47F1A" w:rsidRDefault="00C47F1A" w:rsidP="00C47F1A">
          <w:pPr>
            <w:jc w:val="center"/>
            <w:rPr>
              <w:b/>
              <w:sz w:val="20"/>
              <w:szCs w:val="20"/>
            </w:rPr>
          </w:pPr>
          <w:r>
            <w:rPr>
              <w:b/>
              <w:sz w:val="20"/>
              <w:szCs w:val="20"/>
            </w:rPr>
            <w:t>İSG Kalite Yönetim Ekibi</w:t>
          </w:r>
        </w:p>
      </w:tc>
      <w:tc>
        <w:tcPr>
          <w:tcW w:w="4393" w:type="dxa"/>
          <w:tcBorders>
            <w:top w:val="single" w:sz="4" w:space="0" w:color="auto"/>
            <w:left w:val="single" w:sz="4" w:space="0" w:color="auto"/>
            <w:bottom w:val="single" w:sz="4" w:space="0" w:color="auto"/>
            <w:right w:val="single" w:sz="4" w:space="0" w:color="auto"/>
          </w:tcBorders>
          <w:vAlign w:val="center"/>
          <w:hideMark/>
        </w:tcPr>
        <w:p w:rsidR="00C47F1A" w:rsidRDefault="00C47F1A" w:rsidP="00C47F1A">
          <w:pPr>
            <w:jc w:val="center"/>
            <w:rPr>
              <w:b/>
              <w:sz w:val="20"/>
              <w:szCs w:val="20"/>
            </w:rPr>
          </w:pPr>
          <w:r>
            <w:rPr>
              <w:b/>
              <w:sz w:val="20"/>
              <w:szCs w:val="20"/>
            </w:rPr>
            <w:t>Okul Müdürü</w:t>
          </w:r>
        </w:p>
        <w:p w:rsidR="00C47F1A" w:rsidRDefault="00C47F1A" w:rsidP="00E22AC6">
          <w:pPr>
            <w:rPr>
              <w:b/>
              <w:sz w:val="20"/>
              <w:szCs w:val="20"/>
            </w:rPr>
          </w:pPr>
        </w:p>
        <w:p w:rsidR="00C47F1A" w:rsidRDefault="00C47F1A" w:rsidP="00E22AC6">
          <w:pPr>
            <w:rPr>
              <w:rFonts w:ascii="Calibri" w:hAnsi="Calibri"/>
              <w:sz w:val="20"/>
              <w:szCs w:val="20"/>
            </w:rPr>
          </w:pPr>
        </w:p>
      </w:tc>
    </w:tr>
  </w:tbl>
  <w:p w:rsidR="00462EC6" w:rsidRDefault="00462E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1C8A" w:rsidRDefault="00711C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16F6" w:rsidRDefault="003C16F6" w:rsidP="00D55E5D">
      <w:r>
        <w:separator/>
      </w:r>
    </w:p>
  </w:footnote>
  <w:footnote w:type="continuationSeparator" w:id="0">
    <w:p w:rsidR="003C16F6" w:rsidRDefault="003C16F6" w:rsidP="00D5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1C8A" w:rsidRDefault="00711C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4917"/>
      <w:gridCol w:w="1614"/>
      <w:gridCol w:w="1132"/>
    </w:tblGrid>
    <w:tr w:rsidR="00462EC6" w:rsidRPr="00F12E9B" w:rsidTr="001F0F2F">
      <w:trPr>
        <w:trHeight w:hRule="exact" w:val="340"/>
        <w:jc w:val="center"/>
      </w:trPr>
      <w:tc>
        <w:tcPr>
          <w:tcW w:w="1845" w:type="dxa"/>
          <w:vMerge w:val="restart"/>
          <w:shd w:val="clear" w:color="auto" w:fill="auto"/>
          <w:tcMar>
            <w:left w:w="0" w:type="dxa"/>
            <w:right w:w="0" w:type="dxa"/>
          </w:tcMar>
          <w:vAlign w:val="center"/>
        </w:tcPr>
        <w:p w:rsidR="00462EC6" w:rsidRPr="00F12E9B" w:rsidRDefault="00831365" w:rsidP="00E409F1">
          <w:pPr>
            <w:jc w:val="center"/>
            <w:rPr>
              <w:rFonts w:eastAsia="Calibri"/>
              <w:sz w:val="20"/>
              <w:szCs w:val="20"/>
            </w:rPr>
          </w:pPr>
          <w:r>
            <w:rPr>
              <w:noProof/>
              <w:sz w:val="17"/>
            </w:rPr>
            <w:drawing>
              <wp:inline distT="0" distB="0" distL="0" distR="0" wp14:anchorId="1A9A6048" wp14:editId="2F6C680C">
                <wp:extent cx="1428750" cy="1193800"/>
                <wp:effectExtent l="0" t="0" r="0" b="6350"/>
                <wp:docPr id="2" name="Resim 2" descr="E:\45001\150 pik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5001\150 piks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193800"/>
                        </a:xfrm>
                        <a:prstGeom prst="rect">
                          <a:avLst/>
                        </a:prstGeom>
                        <a:noFill/>
                        <a:ln>
                          <a:noFill/>
                        </a:ln>
                      </pic:spPr>
                    </pic:pic>
                  </a:graphicData>
                </a:graphic>
              </wp:inline>
            </w:drawing>
          </w:r>
        </w:p>
      </w:tc>
      <w:tc>
        <w:tcPr>
          <w:tcW w:w="5246" w:type="dxa"/>
          <w:vMerge w:val="restart"/>
          <w:shd w:val="clear" w:color="auto" w:fill="auto"/>
          <w:vAlign w:val="center"/>
        </w:tcPr>
        <w:p w:rsidR="00462EC6" w:rsidRPr="00E7489F" w:rsidRDefault="00462EC6" w:rsidP="00A60855">
          <w:pPr>
            <w:tabs>
              <w:tab w:val="center" w:pos="4536"/>
              <w:tab w:val="right" w:pos="9072"/>
            </w:tabs>
            <w:jc w:val="center"/>
            <w:rPr>
              <w:b/>
            </w:rPr>
          </w:pPr>
          <w:r w:rsidRPr="00E7489F">
            <w:rPr>
              <w:b/>
            </w:rPr>
            <w:t>T.C.</w:t>
          </w:r>
        </w:p>
        <w:p w:rsidR="00462EC6" w:rsidRPr="00E7489F" w:rsidRDefault="00462EC6" w:rsidP="00A60855">
          <w:pPr>
            <w:tabs>
              <w:tab w:val="left" w:pos="855"/>
              <w:tab w:val="center" w:pos="2443"/>
              <w:tab w:val="center" w:pos="4536"/>
              <w:tab w:val="right" w:pos="9072"/>
            </w:tabs>
            <w:rPr>
              <w:b/>
            </w:rPr>
          </w:pPr>
          <w:r w:rsidRPr="00E7489F">
            <w:rPr>
              <w:b/>
            </w:rPr>
            <w:tab/>
          </w:r>
          <w:r w:rsidRPr="00E7489F">
            <w:rPr>
              <w:b/>
            </w:rPr>
            <w:tab/>
          </w:r>
          <w:r>
            <w:rPr>
              <w:b/>
            </w:rPr>
            <w:t xml:space="preserve">YEŞİLYURT </w:t>
          </w:r>
          <w:r w:rsidRPr="00E7489F">
            <w:rPr>
              <w:b/>
            </w:rPr>
            <w:t>KAYMAKAMLIĞI</w:t>
          </w:r>
        </w:p>
        <w:p w:rsidR="004C492A" w:rsidRDefault="00D37C24" w:rsidP="004C492A">
          <w:pPr>
            <w:pStyle w:val="stBilgi"/>
            <w:jc w:val="center"/>
            <w:rPr>
              <w:b/>
            </w:rPr>
          </w:pPr>
          <w:r>
            <w:rPr>
              <w:b/>
            </w:rPr>
            <w:t>VALİ GALİP DEMİREL</w:t>
          </w:r>
          <w:r w:rsidR="00C47F1A">
            <w:rPr>
              <w:b/>
            </w:rPr>
            <w:t xml:space="preserve"> ORTAOKULU MÜDÜRLÜĞÜ</w:t>
          </w:r>
        </w:p>
        <w:p w:rsidR="00462EC6" w:rsidRPr="00E7489F" w:rsidRDefault="00462EC6" w:rsidP="00A60855">
          <w:pPr>
            <w:tabs>
              <w:tab w:val="center" w:pos="4536"/>
              <w:tab w:val="right" w:pos="9072"/>
            </w:tabs>
            <w:jc w:val="center"/>
            <w:rPr>
              <w:b/>
            </w:rPr>
          </w:pPr>
        </w:p>
        <w:p w:rsidR="00462EC6" w:rsidRDefault="00462EC6" w:rsidP="00E32325">
          <w:pPr>
            <w:tabs>
              <w:tab w:val="left" w:pos="1800"/>
            </w:tabs>
            <w:spacing w:before="240"/>
            <w:jc w:val="center"/>
            <w:rPr>
              <w:b/>
            </w:rPr>
          </w:pPr>
        </w:p>
        <w:p w:rsidR="00462EC6" w:rsidRPr="00F12E9B" w:rsidRDefault="00462EC6" w:rsidP="00F12E9B">
          <w:pPr>
            <w:tabs>
              <w:tab w:val="center" w:pos="4536"/>
              <w:tab w:val="right" w:pos="9072"/>
            </w:tabs>
            <w:jc w:val="center"/>
            <w:rPr>
              <w:rFonts w:eastAsia="Calibri"/>
              <w:szCs w:val="22"/>
            </w:rPr>
          </w:pPr>
        </w:p>
      </w:tc>
      <w:tc>
        <w:tcPr>
          <w:tcW w:w="1700" w:type="dxa"/>
          <w:shd w:val="clear" w:color="auto" w:fill="auto"/>
        </w:tcPr>
        <w:p w:rsidR="00462EC6" w:rsidRPr="00E7489F" w:rsidRDefault="00462EC6" w:rsidP="00462EC6">
          <w:pPr>
            <w:tabs>
              <w:tab w:val="center" w:pos="4536"/>
              <w:tab w:val="right" w:pos="9072"/>
            </w:tabs>
            <w:rPr>
              <w:sz w:val="18"/>
            </w:rPr>
          </w:pPr>
          <w:r>
            <w:rPr>
              <w:sz w:val="18"/>
            </w:rPr>
            <w:t>Do</w:t>
          </w:r>
          <w:r w:rsidRPr="00E7489F">
            <w:rPr>
              <w:sz w:val="18"/>
            </w:rPr>
            <w:t>küman No</w:t>
          </w:r>
        </w:p>
      </w:tc>
      <w:tc>
        <w:tcPr>
          <w:tcW w:w="1132" w:type="dxa"/>
          <w:shd w:val="clear" w:color="auto" w:fill="auto"/>
        </w:tcPr>
        <w:p w:rsidR="00462EC6" w:rsidRPr="00E7489F" w:rsidRDefault="00711C8A" w:rsidP="00A82716">
          <w:pPr>
            <w:rPr>
              <w:rFonts w:asciiTheme="majorBidi" w:hAnsiTheme="majorBidi" w:cstheme="majorBidi"/>
              <w:sz w:val="21"/>
              <w:szCs w:val="21"/>
            </w:rPr>
          </w:pPr>
          <w:r>
            <w:rPr>
              <w:rFonts w:asciiTheme="majorBidi" w:hAnsiTheme="majorBidi" w:cstheme="majorBidi"/>
              <w:sz w:val="21"/>
              <w:szCs w:val="21"/>
            </w:rPr>
            <w:t>TU-06</w:t>
          </w:r>
        </w:p>
      </w:tc>
    </w:tr>
    <w:tr w:rsidR="00462EC6" w:rsidRPr="00F12E9B" w:rsidTr="001F0F2F">
      <w:trPr>
        <w:trHeight w:hRule="exact" w:val="340"/>
        <w:jc w:val="center"/>
      </w:trPr>
      <w:tc>
        <w:tcPr>
          <w:tcW w:w="1845" w:type="dxa"/>
          <w:vMerge/>
          <w:shd w:val="clear" w:color="auto" w:fill="auto"/>
        </w:tcPr>
        <w:p w:rsidR="00462EC6" w:rsidRPr="00F12E9B" w:rsidRDefault="00462EC6" w:rsidP="00F12E9B">
          <w:pPr>
            <w:tabs>
              <w:tab w:val="center" w:pos="4536"/>
              <w:tab w:val="right" w:pos="9072"/>
            </w:tabs>
            <w:rPr>
              <w:rFonts w:ascii="Calibri" w:eastAsia="Calibri" w:hAnsi="Calibri"/>
              <w:sz w:val="22"/>
              <w:szCs w:val="22"/>
            </w:rPr>
          </w:pPr>
        </w:p>
      </w:tc>
      <w:tc>
        <w:tcPr>
          <w:tcW w:w="5246" w:type="dxa"/>
          <w:vMerge/>
          <w:shd w:val="clear" w:color="auto" w:fill="auto"/>
          <w:vAlign w:val="center"/>
        </w:tcPr>
        <w:p w:rsidR="00462EC6" w:rsidRPr="00F12E9B" w:rsidRDefault="00462EC6" w:rsidP="00F12E9B">
          <w:pPr>
            <w:tabs>
              <w:tab w:val="center" w:pos="4536"/>
              <w:tab w:val="right" w:pos="9072"/>
            </w:tabs>
            <w:jc w:val="center"/>
            <w:rPr>
              <w:rFonts w:eastAsia="Calibri"/>
              <w:szCs w:val="22"/>
            </w:rPr>
          </w:pPr>
        </w:p>
      </w:tc>
      <w:tc>
        <w:tcPr>
          <w:tcW w:w="1700" w:type="dxa"/>
          <w:shd w:val="clear" w:color="auto" w:fill="auto"/>
        </w:tcPr>
        <w:p w:rsidR="00462EC6" w:rsidRPr="00E7489F" w:rsidRDefault="00462EC6" w:rsidP="00462EC6">
          <w:pPr>
            <w:tabs>
              <w:tab w:val="center" w:pos="4536"/>
              <w:tab w:val="right" w:pos="9072"/>
            </w:tabs>
            <w:rPr>
              <w:sz w:val="18"/>
            </w:rPr>
          </w:pPr>
          <w:r w:rsidRPr="00E7489F">
            <w:rPr>
              <w:sz w:val="18"/>
            </w:rPr>
            <w:t>Sayfa No</w:t>
          </w:r>
        </w:p>
      </w:tc>
      <w:tc>
        <w:tcPr>
          <w:tcW w:w="1132" w:type="dxa"/>
          <w:shd w:val="clear" w:color="auto" w:fill="auto"/>
        </w:tcPr>
        <w:p w:rsidR="00462EC6" w:rsidRPr="00E7489F" w:rsidRDefault="00FD4F03" w:rsidP="00462EC6">
          <w:pPr>
            <w:tabs>
              <w:tab w:val="center" w:pos="4536"/>
              <w:tab w:val="right" w:pos="9072"/>
            </w:tabs>
            <w:rPr>
              <w:sz w:val="18"/>
            </w:rPr>
          </w:pPr>
          <w:r w:rsidRPr="00E7489F">
            <w:rPr>
              <w:sz w:val="18"/>
            </w:rPr>
            <w:fldChar w:fldCharType="begin"/>
          </w:r>
          <w:r w:rsidR="00462EC6" w:rsidRPr="00E7489F">
            <w:rPr>
              <w:sz w:val="18"/>
            </w:rPr>
            <w:instrText>PAGE   \* MERGEFORMAT</w:instrText>
          </w:r>
          <w:r w:rsidRPr="00E7489F">
            <w:rPr>
              <w:sz w:val="18"/>
            </w:rPr>
            <w:fldChar w:fldCharType="separate"/>
          </w:r>
          <w:r w:rsidR="00A212B9">
            <w:rPr>
              <w:noProof/>
              <w:sz w:val="18"/>
            </w:rPr>
            <w:t>2</w:t>
          </w:r>
          <w:r w:rsidRPr="00E7489F">
            <w:rPr>
              <w:sz w:val="18"/>
            </w:rPr>
            <w:fldChar w:fldCharType="end"/>
          </w:r>
          <w:r w:rsidR="002C6AE0">
            <w:rPr>
              <w:sz w:val="18"/>
            </w:rPr>
            <w:t>/1</w:t>
          </w:r>
        </w:p>
      </w:tc>
    </w:tr>
    <w:tr w:rsidR="00462EC6" w:rsidRPr="00F12E9B" w:rsidTr="00831365">
      <w:trPr>
        <w:trHeight w:hRule="exact" w:val="463"/>
        <w:jc w:val="center"/>
      </w:trPr>
      <w:tc>
        <w:tcPr>
          <w:tcW w:w="1845" w:type="dxa"/>
          <w:vMerge/>
          <w:shd w:val="clear" w:color="auto" w:fill="auto"/>
        </w:tcPr>
        <w:p w:rsidR="00462EC6" w:rsidRPr="00F12E9B" w:rsidRDefault="00462EC6" w:rsidP="00F12E9B">
          <w:pPr>
            <w:tabs>
              <w:tab w:val="center" w:pos="4536"/>
              <w:tab w:val="right" w:pos="9072"/>
            </w:tabs>
            <w:rPr>
              <w:rFonts w:ascii="Calibri" w:eastAsia="Calibri" w:hAnsi="Calibri"/>
              <w:sz w:val="22"/>
              <w:szCs w:val="22"/>
            </w:rPr>
          </w:pPr>
        </w:p>
      </w:tc>
      <w:tc>
        <w:tcPr>
          <w:tcW w:w="5246" w:type="dxa"/>
          <w:vMerge/>
          <w:shd w:val="clear" w:color="auto" w:fill="auto"/>
          <w:vAlign w:val="center"/>
        </w:tcPr>
        <w:p w:rsidR="00462EC6" w:rsidRPr="00F12E9B" w:rsidRDefault="00462EC6" w:rsidP="00F12E9B">
          <w:pPr>
            <w:tabs>
              <w:tab w:val="center" w:pos="4536"/>
              <w:tab w:val="right" w:pos="9072"/>
            </w:tabs>
            <w:jc w:val="center"/>
            <w:rPr>
              <w:rFonts w:eastAsia="Calibri"/>
              <w:szCs w:val="22"/>
            </w:rPr>
          </w:pPr>
        </w:p>
      </w:tc>
      <w:tc>
        <w:tcPr>
          <w:tcW w:w="1700" w:type="dxa"/>
          <w:shd w:val="clear" w:color="auto" w:fill="auto"/>
        </w:tcPr>
        <w:p w:rsidR="00462EC6" w:rsidRPr="00E7489F" w:rsidRDefault="00462EC6" w:rsidP="00462EC6">
          <w:pPr>
            <w:tabs>
              <w:tab w:val="center" w:pos="4536"/>
              <w:tab w:val="right" w:pos="9072"/>
            </w:tabs>
            <w:rPr>
              <w:sz w:val="18"/>
            </w:rPr>
          </w:pPr>
          <w:r w:rsidRPr="00E7489F">
            <w:rPr>
              <w:sz w:val="18"/>
            </w:rPr>
            <w:t>Revizyon No</w:t>
          </w:r>
        </w:p>
      </w:tc>
      <w:tc>
        <w:tcPr>
          <w:tcW w:w="1132" w:type="dxa"/>
          <w:shd w:val="clear" w:color="auto" w:fill="auto"/>
        </w:tcPr>
        <w:p w:rsidR="00462EC6" w:rsidRPr="00E7489F" w:rsidRDefault="00462EC6" w:rsidP="00462EC6">
          <w:pPr>
            <w:tabs>
              <w:tab w:val="center" w:pos="4536"/>
              <w:tab w:val="right" w:pos="9072"/>
            </w:tabs>
            <w:rPr>
              <w:sz w:val="18"/>
            </w:rPr>
          </w:pPr>
        </w:p>
      </w:tc>
    </w:tr>
    <w:tr w:rsidR="00462EC6" w:rsidRPr="00F12E9B" w:rsidTr="001F0F2F">
      <w:trPr>
        <w:trHeight w:hRule="exact" w:val="340"/>
        <w:jc w:val="center"/>
      </w:trPr>
      <w:tc>
        <w:tcPr>
          <w:tcW w:w="1845" w:type="dxa"/>
          <w:vMerge/>
          <w:shd w:val="clear" w:color="auto" w:fill="auto"/>
        </w:tcPr>
        <w:p w:rsidR="00462EC6" w:rsidRPr="00F12E9B" w:rsidRDefault="00462EC6" w:rsidP="00F12E9B">
          <w:pPr>
            <w:tabs>
              <w:tab w:val="center" w:pos="4536"/>
              <w:tab w:val="right" w:pos="9072"/>
            </w:tabs>
            <w:rPr>
              <w:rFonts w:ascii="Calibri" w:eastAsia="Calibri" w:hAnsi="Calibri"/>
              <w:sz w:val="22"/>
              <w:szCs w:val="22"/>
            </w:rPr>
          </w:pPr>
        </w:p>
      </w:tc>
      <w:tc>
        <w:tcPr>
          <w:tcW w:w="5246" w:type="dxa"/>
          <w:vMerge w:val="restart"/>
          <w:shd w:val="clear" w:color="auto" w:fill="auto"/>
          <w:vAlign w:val="center"/>
        </w:tcPr>
        <w:p w:rsidR="00462EC6" w:rsidRPr="00F12E9B" w:rsidRDefault="00462EC6" w:rsidP="00F12E9B">
          <w:pPr>
            <w:tabs>
              <w:tab w:val="left" w:pos="238"/>
              <w:tab w:val="left" w:pos="1890"/>
              <w:tab w:val="center" w:pos="2372"/>
            </w:tabs>
            <w:jc w:val="center"/>
            <w:rPr>
              <w:rFonts w:eastAsia="Calibri"/>
              <w:b/>
              <w:bCs/>
            </w:rPr>
          </w:pPr>
          <w:r>
            <w:rPr>
              <w:b/>
            </w:rPr>
            <w:t xml:space="preserve">YÖNETİMİN GÖZDEN </w:t>
          </w:r>
          <w:r w:rsidRPr="00F12E9B">
            <w:rPr>
              <w:b/>
            </w:rPr>
            <w:t>GEÇİRME</w:t>
          </w:r>
          <w:r>
            <w:rPr>
              <w:b/>
            </w:rPr>
            <w:t xml:space="preserve"> TOPLANTI FORMU</w:t>
          </w:r>
        </w:p>
      </w:tc>
      <w:tc>
        <w:tcPr>
          <w:tcW w:w="1700" w:type="dxa"/>
          <w:shd w:val="clear" w:color="auto" w:fill="auto"/>
        </w:tcPr>
        <w:p w:rsidR="00462EC6" w:rsidRPr="00E7489F" w:rsidRDefault="00462EC6" w:rsidP="00462EC6">
          <w:pPr>
            <w:tabs>
              <w:tab w:val="center" w:pos="4536"/>
              <w:tab w:val="right" w:pos="9072"/>
            </w:tabs>
            <w:rPr>
              <w:sz w:val="18"/>
            </w:rPr>
          </w:pPr>
          <w:r w:rsidRPr="00E7489F">
            <w:rPr>
              <w:sz w:val="18"/>
            </w:rPr>
            <w:t>Revizyon Tarihi</w:t>
          </w:r>
        </w:p>
      </w:tc>
      <w:tc>
        <w:tcPr>
          <w:tcW w:w="1132" w:type="dxa"/>
          <w:shd w:val="clear" w:color="auto" w:fill="auto"/>
        </w:tcPr>
        <w:p w:rsidR="00462EC6" w:rsidRPr="00E7489F" w:rsidRDefault="00462EC6" w:rsidP="00462EC6">
          <w:pPr>
            <w:tabs>
              <w:tab w:val="center" w:pos="4536"/>
              <w:tab w:val="right" w:pos="9072"/>
            </w:tabs>
            <w:rPr>
              <w:sz w:val="18"/>
            </w:rPr>
          </w:pPr>
        </w:p>
      </w:tc>
    </w:tr>
    <w:tr w:rsidR="00462EC6" w:rsidRPr="00F12E9B" w:rsidTr="001F0F2F">
      <w:trPr>
        <w:trHeight w:hRule="exact" w:val="331"/>
        <w:jc w:val="center"/>
      </w:trPr>
      <w:tc>
        <w:tcPr>
          <w:tcW w:w="1845" w:type="dxa"/>
          <w:vMerge/>
          <w:shd w:val="clear" w:color="auto" w:fill="auto"/>
        </w:tcPr>
        <w:p w:rsidR="00462EC6" w:rsidRPr="00F12E9B" w:rsidRDefault="00462EC6" w:rsidP="00F12E9B">
          <w:pPr>
            <w:tabs>
              <w:tab w:val="center" w:pos="4536"/>
              <w:tab w:val="right" w:pos="9072"/>
            </w:tabs>
            <w:rPr>
              <w:rFonts w:ascii="Calibri" w:eastAsia="Calibri" w:hAnsi="Calibri"/>
              <w:sz w:val="22"/>
              <w:szCs w:val="22"/>
            </w:rPr>
          </w:pPr>
        </w:p>
      </w:tc>
      <w:tc>
        <w:tcPr>
          <w:tcW w:w="5246" w:type="dxa"/>
          <w:vMerge/>
          <w:shd w:val="clear" w:color="auto" w:fill="auto"/>
        </w:tcPr>
        <w:p w:rsidR="00462EC6" w:rsidRPr="00F12E9B" w:rsidRDefault="00462EC6" w:rsidP="00F12E9B">
          <w:pPr>
            <w:tabs>
              <w:tab w:val="center" w:pos="4536"/>
              <w:tab w:val="right" w:pos="9072"/>
            </w:tabs>
            <w:rPr>
              <w:rFonts w:ascii="Calibri" w:eastAsia="Calibri" w:hAnsi="Calibri"/>
              <w:sz w:val="22"/>
              <w:szCs w:val="22"/>
            </w:rPr>
          </w:pPr>
        </w:p>
      </w:tc>
      <w:tc>
        <w:tcPr>
          <w:tcW w:w="1700" w:type="dxa"/>
          <w:shd w:val="clear" w:color="auto" w:fill="auto"/>
        </w:tcPr>
        <w:p w:rsidR="00462EC6" w:rsidRPr="00E7489F" w:rsidRDefault="0002412B" w:rsidP="00462EC6">
          <w:pPr>
            <w:tabs>
              <w:tab w:val="center" w:pos="4536"/>
              <w:tab w:val="right" w:pos="9072"/>
            </w:tabs>
            <w:rPr>
              <w:sz w:val="18"/>
            </w:rPr>
          </w:pPr>
          <w:r>
            <w:rPr>
              <w:sz w:val="18"/>
            </w:rPr>
            <w:t>Yayın</w:t>
          </w:r>
          <w:r w:rsidR="00462EC6" w:rsidRPr="00E7489F">
            <w:rPr>
              <w:sz w:val="18"/>
            </w:rPr>
            <w:t xml:space="preserve"> Tarihi</w:t>
          </w:r>
        </w:p>
      </w:tc>
      <w:tc>
        <w:tcPr>
          <w:tcW w:w="1132" w:type="dxa"/>
          <w:shd w:val="clear" w:color="auto" w:fill="auto"/>
        </w:tcPr>
        <w:p w:rsidR="00462EC6" w:rsidRPr="00E7489F" w:rsidRDefault="00D37C24" w:rsidP="00462EC6">
          <w:pPr>
            <w:tabs>
              <w:tab w:val="center" w:pos="4536"/>
              <w:tab w:val="right" w:pos="9072"/>
            </w:tabs>
            <w:rPr>
              <w:sz w:val="18"/>
            </w:rPr>
          </w:pPr>
          <w:r>
            <w:rPr>
              <w:sz w:val="20"/>
              <w:szCs w:val="20"/>
            </w:rPr>
            <w:t>18/11/2019</w:t>
          </w:r>
        </w:p>
      </w:tc>
    </w:tr>
    <w:tr w:rsidR="00462EC6" w:rsidRPr="00F12E9B" w:rsidTr="001F0F2F">
      <w:trPr>
        <w:trHeight w:hRule="exact" w:val="340"/>
        <w:jc w:val="center"/>
      </w:trPr>
      <w:tc>
        <w:tcPr>
          <w:tcW w:w="1845" w:type="dxa"/>
          <w:vMerge/>
          <w:shd w:val="clear" w:color="auto" w:fill="auto"/>
        </w:tcPr>
        <w:p w:rsidR="00462EC6" w:rsidRPr="00F12E9B" w:rsidRDefault="00462EC6" w:rsidP="00F12E9B">
          <w:pPr>
            <w:tabs>
              <w:tab w:val="center" w:pos="4536"/>
              <w:tab w:val="right" w:pos="9072"/>
            </w:tabs>
            <w:rPr>
              <w:rFonts w:ascii="Calibri" w:eastAsia="Calibri" w:hAnsi="Calibri"/>
              <w:sz w:val="22"/>
              <w:szCs w:val="22"/>
            </w:rPr>
          </w:pPr>
        </w:p>
      </w:tc>
      <w:tc>
        <w:tcPr>
          <w:tcW w:w="5246" w:type="dxa"/>
          <w:vMerge/>
          <w:shd w:val="clear" w:color="auto" w:fill="auto"/>
        </w:tcPr>
        <w:p w:rsidR="00462EC6" w:rsidRPr="00F12E9B" w:rsidRDefault="00462EC6" w:rsidP="00F12E9B">
          <w:pPr>
            <w:tabs>
              <w:tab w:val="center" w:pos="4536"/>
              <w:tab w:val="right" w:pos="9072"/>
            </w:tabs>
            <w:rPr>
              <w:rFonts w:ascii="Calibri" w:eastAsia="Calibri" w:hAnsi="Calibri"/>
              <w:sz w:val="22"/>
              <w:szCs w:val="22"/>
            </w:rPr>
          </w:pPr>
        </w:p>
      </w:tc>
      <w:tc>
        <w:tcPr>
          <w:tcW w:w="1700" w:type="dxa"/>
          <w:shd w:val="clear" w:color="auto" w:fill="auto"/>
        </w:tcPr>
        <w:p w:rsidR="00462EC6" w:rsidRPr="00E7489F" w:rsidRDefault="00462EC6" w:rsidP="00462EC6">
          <w:pPr>
            <w:tabs>
              <w:tab w:val="center" w:pos="4536"/>
              <w:tab w:val="right" w:pos="9072"/>
            </w:tabs>
            <w:rPr>
              <w:sz w:val="18"/>
            </w:rPr>
          </w:pPr>
          <w:r w:rsidRPr="00E7489F">
            <w:rPr>
              <w:sz w:val="18"/>
            </w:rPr>
            <w:t>Kurum Kodu</w:t>
          </w:r>
        </w:p>
      </w:tc>
      <w:tc>
        <w:tcPr>
          <w:tcW w:w="1132" w:type="dxa"/>
          <w:shd w:val="clear" w:color="auto" w:fill="auto"/>
        </w:tcPr>
        <w:p w:rsidR="00462EC6" w:rsidRPr="00E7489F" w:rsidRDefault="00D37C24" w:rsidP="00032615">
          <w:pPr>
            <w:tabs>
              <w:tab w:val="center" w:pos="4536"/>
              <w:tab w:val="right" w:pos="9072"/>
            </w:tabs>
            <w:rPr>
              <w:sz w:val="18"/>
            </w:rPr>
          </w:pPr>
          <w:r>
            <w:rPr>
              <w:sz w:val="18"/>
            </w:rPr>
            <w:t>754654</w:t>
          </w:r>
        </w:p>
      </w:tc>
    </w:tr>
  </w:tbl>
  <w:p w:rsidR="00462EC6" w:rsidRDefault="00462E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1C8A" w:rsidRDefault="00711C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102F"/>
    <w:multiLevelType w:val="hybridMultilevel"/>
    <w:tmpl w:val="772EAAAA"/>
    <w:lvl w:ilvl="0" w:tplc="D9B23C8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BF553B"/>
    <w:multiLevelType w:val="hybridMultilevel"/>
    <w:tmpl w:val="57BACD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3011FB2"/>
    <w:multiLevelType w:val="hybridMultilevel"/>
    <w:tmpl w:val="55B09DE6"/>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AA05A95"/>
    <w:multiLevelType w:val="hybridMultilevel"/>
    <w:tmpl w:val="09600AAC"/>
    <w:lvl w:ilvl="0" w:tplc="953A47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2C9"/>
    <w:rsid w:val="000014BB"/>
    <w:rsid w:val="00005FD3"/>
    <w:rsid w:val="00006B1E"/>
    <w:rsid w:val="00011A59"/>
    <w:rsid w:val="00014749"/>
    <w:rsid w:val="000179A9"/>
    <w:rsid w:val="000208E5"/>
    <w:rsid w:val="0002412B"/>
    <w:rsid w:val="00032615"/>
    <w:rsid w:val="000471B0"/>
    <w:rsid w:val="0004735B"/>
    <w:rsid w:val="0005163A"/>
    <w:rsid w:val="000546C1"/>
    <w:rsid w:val="00056F60"/>
    <w:rsid w:val="0006398A"/>
    <w:rsid w:val="0006488E"/>
    <w:rsid w:val="00072654"/>
    <w:rsid w:val="00072734"/>
    <w:rsid w:val="00072836"/>
    <w:rsid w:val="00074175"/>
    <w:rsid w:val="00097B6C"/>
    <w:rsid w:val="00097CC6"/>
    <w:rsid w:val="000B29E8"/>
    <w:rsid w:val="000B7145"/>
    <w:rsid w:val="000D2CF0"/>
    <w:rsid w:val="000D6690"/>
    <w:rsid w:val="000F2708"/>
    <w:rsid w:val="000F43FE"/>
    <w:rsid w:val="000F59B6"/>
    <w:rsid w:val="0011110D"/>
    <w:rsid w:val="0011169A"/>
    <w:rsid w:val="00123D4D"/>
    <w:rsid w:val="0013500D"/>
    <w:rsid w:val="0014224B"/>
    <w:rsid w:val="001449C2"/>
    <w:rsid w:val="00156CEC"/>
    <w:rsid w:val="0015740D"/>
    <w:rsid w:val="00177EB6"/>
    <w:rsid w:val="001868C6"/>
    <w:rsid w:val="00190C4B"/>
    <w:rsid w:val="00197160"/>
    <w:rsid w:val="001A0B16"/>
    <w:rsid w:val="001A0EE0"/>
    <w:rsid w:val="001A62FE"/>
    <w:rsid w:val="001B7268"/>
    <w:rsid w:val="001D09D4"/>
    <w:rsid w:val="001D5706"/>
    <w:rsid w:val="001D6BB1"/>
    <w:rsid w:val="001F0F2F"/>
    <w:rsid w:val="001F14E4"/>
    <w:rsid w:val="001F2CCD"/>
    <w:rsid w:val="001F2EA0"/>
    <w:rsid w:val="001F47E6"/>
    <w:rsid w:val="001F6152"/>
    <w:rsid w:val="0020221A"/>
    <w:rsid w:val="00203E3D"/>
    <w:rsid w:val="002209FE"/>
    <w:rsid w:val="0022254E"/>
    <w:rsid w:val="0022390E"/>
    <w:rsid w:val="00224FF9"/>
    <w:rsid w:val="0022693D"/>
    <w:rsid w:val="0023576B"/>
    <w:rsid w:val="0023747F"/>
    <w:rsid w:val="00257FB0"/>
    <w:rsid w:val="002724E8"/>
    <w:rsid w:val="00272838"/>
    <w:rsid w:val="002904A4"/>
    <w:rsid w:val="00292706"/>
    <w:rsid w:val="00293A13"/>
    <w:rsid w:val="002A1E2D"/>
    <w:rsid w:val="002A2564"/>
    <w:rsid w:val="002A3CC6"/>
    <w:rsid w:val="002B0F46"/>
    <w:rsid w:val="002B3550"/>
    <w:rsid w:val="002C6AE0"/>
    <w:rsid w:val="002D0596"/>
    <w:rsid w:val="002E2015"/>
    <w:rsid w:val="002E5BD1"/>
    <w:rsid w:val="002E6F5A"/>
    <w:rsid w:val="002F0AF4"/>
    <w:rsid w:val="002F2FBD"/>
    <w:rsid w:val="0030216C"/>
    <w:rsid w:val="00305720"/>
    <w:rsid w:val="00306BC8"/>
    <w:rsid w:val="003202F6"/>
    <w:rsid w:val="00324A4B"/>
    <w:rsid w:val="003275BF"/>
    <w:rsid w:val="003410F5"/>
    <w:rsid w:val="00346ECD"/>
    <w:rsid w:val="00363FAA"/>
    <w:rsid w:val="00365C07"/>
    <w:rsid w:val="00376575"/>
    <w:rsid w:val="0038651D"/>
    <w:rsid w:val="00387F5B"/>
    <w:rsid w:val="00391CD6"/>
    <w:rsid w:val="003A460D"/>
    <w:rsid w:val="003A7495"/>
    <w:rsid w:val="003B504F"/>
    <w:rsid w:val="003C16F6"/>
    <w:rsid w:val="003C2137"/>
    <w:rsid w:val="003C7F42"/>
    <w:rsid w:val="003C7F73"/>
    <w:rsid w:val="003D1084"/>
    <w:rsid w:val="003E3B61"/>
    <w:rsid w:val="003E4ABB"/>
    <w:rsid w:val="003F4E0B"/>
    <w:rsid w:val="004017A6"/>
    <w:rsid w:val="0043197B"/>
    <w:rsid w:val="00432234"/>
    <w:rsid w:val="00432CBF"/>
    <w:rsid w:val="00433C3C"/>
    <w:rsid w:val="004370D1"/>
    <w:rsid w:val="004445B6"/>
    <w:rsid w:val="0044503C"/>
    <w:rsid w:val="00446E04"/>
    <w:rsid w:val="00451207"/>
    <w:rsid w:val="00462EC6"/>
    <w:rsid w:val="00463158"/>
    <w:rsid w:val="004645CB"/>
    <w:rsid w:val="004667D4"/>
    <w:rsid w:val="00472B23"/>
    <w:rsid w:val="004743BA"/>
    <w:rsid w:val="00480139"/>
    <w:rsid w:val="00486975"/>
    <w:rsid w:val="00487B94"/>
    <w:rsid w:val="00496F90"/>
    <w:rsid w:val="004A05F1"/>
    <w:rsid w:val="004A2965"/>
    <w:rsid w:val="004B3771"/>
    <w:rsid w:val="004B47F2"/>
    <w:rsid w:val="004B6A4B"/>
    <w:rsid w:val="004C17BA"/>
    <w:rsid w:val="004C3E4B"/>
    <w:rsid w:val="004C492A"/>
    <w:rsid w:val="004C6DD7"/>
    <w:rsid w:val="004D1CCC"/>
    <w:rsid w:val="004D472C"/>
    <w:rsid w:val="004D6D81"/>
    <w:rsid w:val="004E1F8E"/>
    <w:rsid w:val="004E2132"/>
    <w:rsid w:val="004E40D9"/>
    <w:rsid w:val="004F26C9"/>
    <w:rsid w:val="004F2A56"/>
    <w:rsid w:val="00502C19"/>
    <w:rsid w:val="00512051"/>
    <w:rsid w:val="00517D5B"/>
    <w:rsid w:val="00527DC9"/>
    <w:rsid w:val="00543B87"/>
    <w:rsid w:val="0054498B"/>
    <w:rsid w:val="005515B5"/>
    <w:rsid w:val="005547F5"/>
    <w:rsid w:val="005579D5"/>
    <w:rsid w:val="00563110"/>
    <w:rsid w:val="00576671"/>
    <w:rsid w:val="00586E55"/>
    <w:rsid w:val="00594490"/>
    <w:rsid w:val="005A5E02"/>
    <w:rsid w:val="005A61CB"/>
    <w:rsid w:val="005B1DBD"/>
    <w:rsid w:val="005B3152"/>
    <w:rsid w:val="005B75AD"/>
    <w:rsid w:val="005C1ED0"/>
    <w:rsid w:val="005C3D41"/>
    <w:rsid w:val="005D0295"/>
    <w:rsid w:val="005F2F33"/>
    <w:rsid w:val="006004FD"/>
    <w:rsid w:val="00604702"/>
    <w:rsid w:val="00606615"/>
    <w:rsid w:val="00612BF8"/>
    <w:rsid w:val="00620D93"/>
    <w:rsid w:val="0063016E"/>
    <w:rsid w:val="00635DF6"/>
    <w:rsid w:val="00655D95"/>
    <w:rsid w:val="00660431"/>
    <w:rsid w:val="00663D33"/>
    <w:rsid w:val="0066452D"/>
    <w:rsid w:val="00673988"/>
    <w:rsid w:val="0068008D"/>
    <w:rsid w:val="00681DBD"/>
    <w:rsid w:val="00687F40"/>
    <w:rsid w:val="006921F3"/>
    <w:rsid w:val="00692F5F"/>
    <w:rsid w:val="006A0331"/>
    <w:rsid w:val="006A2FBB"/>
    <w:rsid w:val="006A67F5"/>
    <w:rsid w:val="006B0FEF"/>
    <w:rsid w:val="006B7F08"/>
    <w:rsid w:val="006C5F80"/>
    <w:rsid w:val="006C72C1"/>
    <w:rsid w:val="006D7986"/>
    <w:rsid w:val="006E670E"/>
    <w:rsid w:val="006E7961"/>
    <w:rsid w:val="006E7ED5"/>
    <w:rsid w:val="006F489C"/>
    <w:rsid w:val="00711C8A"/>
    <w:rsid w:val="007169C0"/>
    <w:rsid w:val="00722FB8"/>
    <w:rsid w:val="0072563D"/>
    <w:rsid w:val="00732BD0"/>
    <w:rsid w:val="00735825"/>
    <w:rsid w:val="00735B99"/>
    <w:rsid w:val="00744E19"/>
    <w:rsid w:val="00745861"/>
    <w:rsid w:val="00751E97"/>
    <w:rsid w:val="0076756D"/>
    <w:rsid w:val="0077155F"/>
    <w:rsid w:val="00771E04"/>
    <w:rsid w:val="00772DBC"/>
    <w:rsid w:val="007732FF"/>
    <w:rsid w:val="00773F74"/>
    <w:rsid w:val="00774164"/>
    <w:rsid w:val="00774D0B"/>
    <w:rsid w:val="0078685F"/>
    <w:rsid w:val="007A30CA"/>
    <w:rsid w:val="007A332C"/>
    <w:rsid w:val="007A457B"/>
    <w:rsid w:val="007A72F8"/>
    <w:rsid w:val="007D3F70"/>
    <w:rsid w:val="007D4B86"/>
    <w:rsid w:val="007D6242"/>
    <w:rsid w:val="007E5333"/>
    <w:rsid w:val="00800E85"/>
    <w:rsid w:val="00803F8E"/>
    <w:rsid w:val="008115FD"/>
    <w:rsid w:val="0081419E"/>
    <w:rsid w:val="00823301"/>
    <w:rsid w:val="00826588"/>
    <w:rsid w:val="00831365"/>
    <w:rsid w:val="008326FD"/>
    <w:rsid w:val="00832F81"/>
    <w:rsid w:val="0083487D"/>
    <w:rsid w:val="00837F78"/>
    <w:rsid w:val="00843A5F"/>
    <w:rsid w:val="00847C71"/>
    <w:rsid w:val="00855DE0"/>
    <w:rsid w:val="008576B2"/>
    <w:rsid w:val="00861310"/>
    <w:rsid w:val="00862C7B"/>
    <w:rsid w:val="008730FC"/>
    <w:rsid w:val="008842C9"/>
    <w:rsid w:val="0088610B"/>
    <w:rsid w:val="00886F17"/>
    <w:rsid w:val="00887509"/>
    <w:rsid w:val="0089379A"/>
    <w:rsid w:val="00897828"/>
    <w:rsid w:val="008A716E"/>
    <w:rsid w:val="008A78CA"/>
    <w:rsid w:val="008B1739"/>
    <w:rsid w:val="008B7491"/>
    <w:rsid w:val="008C02EF"/>
    <w:rsid w:val="008C60C6"/>
    <w:rsid w:val="008D6F61"/>
    <w:rsid w:val="008D77B8"/>
    <w:rsid w:val="008E1E21"/>
    <w:rsid w:val="008E3F2A"/>
    <w:rsid w:val="008E4271"/>
    <w:rsid w:val="008F277C"/>
    <w:rsid w:val="008F45A7"/>
    <w:rsid w:val="0090102D"/>
    <w:rsid w:val="009057E0"/>
    <w:rsid w:val="00907637"/>
    <w:rsid w:val="009179FA"/>
    <w:rsid w:val="00921B37"/>
    <w:rsid w:val="00924094"/>
    <w:rsid w:val="00925825"/>
    <w:rsid w:val="00927E21"/>
    <w:rsid w:val="00950E90"/>
    <w:rsid w:val="00953FC0"/>
    <w:rsid w:val="009749DF"/>
    <w:rsid w:val="00977534"/>
    <w:rsid w:val="00984E48"/>
    <w:rsid w:val="00994F11"/>
    <w:rsid w:val="00995194"/>
    <w:rsid w:val="00996055"/>
    <w:rsid w:val="009B6E0B"/>
    <w:rsid w:val="009C38E0"/>
    <w:rsid w:val="009C4BA9"/>
    <w:rsid w:val="009C7759"/>
    <w:rsid w:val="009C7B6F"/>
    <w:rsid w:val="009D5D4D"/>
    <w:rsid w:val="009D74EE"/>
    <w:rsid w:val="009E1DED"/>
    <w:rsid w:val="009E1F54"/>
    <w:rsid w:val="009E767C"/>
    <w:rsid w:val="009F15FA"/>
    <w:rsid w:val="009F3354"/>
    <w:rsid w:val="009F7C85"/>
    <w:rsid w:val="00A05B07"/>
    <w:rsid w:val="00A05D4E"/>
    <w:rsid w:val="00A076C2"/>
    <w:rsid w:val="00A07A32"/>
    <w:rsid w:val="00A13AAF"/>
    <w:rsid w:val="00A15D11"/>
    <w:rsid w:val="00A2014F"/>
    <w:rsid w:val="00A20F16"/>
    <w:rsid w:val="00A212B9"/>
    <w:rsid w:val="00A22A3E"/>
    <w:rsid w:val="00A253EA"/>
    <w:rsid w:val="00A27C1F"/>
    <w:rsid w:val="00A30C89"/>
    <w:rsid w:val="00A41367"/>
    <w:rsid w:val="00A41602"/>
    <w:rsid w:val="00A43177"/>
    <w:rsid w:val="00A47F4A"/>
    <w:rsid w:val="00A50680"/>
    <w:rsid w:val="00A51766"/>
    <w:rsid w:val="00A52614"/>
    <w:rsid w:val="00A52F7A"/>
    <w:rsid w:val="00A53021"/>
    <w:rsid w:val="00A54F16"/>
    <w:rsid w:val="00A57997"/>
    <w:rsid w:val="00A60855"/>
    <w:rsid w:val="00A6626D"/>
    <w:rsid w:val="00A66D7E"/>
    <w:rsid w:val="00A67111"/>
    <w:rsid w:val="00A71B87"/>
    <w:rsid w:val="00A74CE1"/>
    <w:rsid w:val="00A82716"/>
    <w:rsid w:val="00A85BEF"/>
    <w:rsid w:val="00A92A2A"/>
    <w:rsid w:val="00AA0808"/>
    <w:rsid w:val="00AA2198"/>
    <w:rsid w:val="00AA29D6"/>
    <w:rsid w:val="00AA3971"/>
    <w:rsid w:val="00AB39CA"/>
    <w:rsid w:val="00AB69C4"/>
    <w:rsid w:val="00AC09A5"/>
    <w:rsid w:val="00AC2F8F"/>
    <w:rsid w:val="00AD00FE"/>
    <w:rsid w:val="00AD32DB"/>
    <w:rsid w:val="00AD6320"/>
    <w:rsid w:val="00AE15CF"/>
    <w:rsid w:val="00AE56D7"/>
    <w:rsid w:val="00AF3FF4"/>
    <w:rsid w:val="00B004B4"/>
    <w:rsid w:val="00B00731"/>
    <w:rsid w:val="00B0120C"/>
    <w:rsid w:val="00B02D0D"/>
    <w:rsid w:val="00B10D9E"/>
    <w:rsid w:val="00B21BFC"/>
    <w:rsid w:val="00B253FF"/>
    <w:rsid w:val="00B2641C"/>
    <w:rsid w:val="00B33B3E"/>
    <w:rsid w:val="00B33C86"/>
    <w:rsid w:val="00B3758A"/>
    <w:rsid w:val="00B41E67"/>
    <w:rsid w:val="00B65F27"/>
    <w:rsid w:val="00B76964"/>
    <w:rsid w:val="00B810CB"/>
    <w:rsid w:val="00B86765"/>
    <w:rsid w:val="00B93378"/>
    <w:rsid w:val="00BB22D6"/>
    <w:rsid w:val="00BB51E7"/>
    <w:rsid w:val="00BB70D2"/>
    <w:rsid w:val="00BB790E"/>
    <w:rsid w:val="00BC03C3"/>
    <w:rsid w:val="00BC4007"/>
    <w:rsid w:val="00BD6D84"/>
    <w:rsid w:val="00BE4C95"/>
    <w:rsid w:val="00BF26EE"/>
    <w:rsid w:val="00BF35D1"/>
    <w:rsid w:val="00C005FA"/>
    <w:rsid w:val="00C00923"/>
    <w:rsid w:val="00C03CC1"/>
    <w:rsid w:val="00C13A94"/>
    <w:rsid w:val="00C15B22"/>
    <w:rsid w:val="00C21B6F"/>
    <w:rsid w:val="00C35126"/>
    <w:rsid w:val="00C37F9C"/>
    <w:rsid w:val="00C41C9A"/>
    <w:rsid w:val="00C43D17"/>
    <w:rsid w:val="00C45316"/>
    <w:rsid w:val="00C4704C"/>
    <w:rsid w:val="00C47F1A"/>
    <w:rsid w:val="00C56122"/>
    <w:rsid w:val="00C82C28"/>
    <w:rsid w:val="00C9246E"/>
    <w:rsid w:val="00CA139E"/>
    <w:rsid w:val="00CA20E9"/>
    <w:rsid w:val="00CA615D"/>
    <w:rsid w:val="00CB5C76"/>
    <w:rsid w:val="00CD04C9"/>
    <w:rsid w:val="00CD237E"/>
    <w:rsid w:val="00CD3A3D"/>
    <w:rsid w:val="00CD4F7F"/>
    <w:rsid w:val="00CD6C23"/>
    <w:rsid w:val="00CD770D"/>
    <w:rsid w:val="00D03974"/>
    <w:rsid w:val="00D0415B"/>
    <w:rsid w:val="00D046C0"/>
    <w:rsid w:val="00D2249A"/>
    <w:rsid w:val="00D37C24"/>
    <w:rsid w:val="00D541FD"/>
    <w:rsid w:val="00D551AF"/>
    <w:rsid w:val="00D55E5D"/>
    <w:rsid w:val="00D6753D"/>
    <w:rsid w:val="00D72532"/>
    <w:rsid w:val="00D9504F"/>
    <w:rsid w:val="00D960A2"/>
    <w:rsid w:val="00DB00BA"/>
    <w:rsid w:val="00DB0870"/>
    <w:rsid w:val="00DB37C9"/>
    <w:rsid w:val="00DB7002"/>
    <w:rsid w:val="00DC4FB3"/>
    <w:rsid w:val="00DD2ABF"/>
    <w:rsid w:val="00DD71A9"/>
    <w:rsid w:val="00DD7350"/>
    <w:rsid w:val="00DF15BC"/>
    <w:rsid w:val="00DF79BF"/>
    <w:rsid w:val="00E04605"/>
    <w:rsid w:val="00E04D90"/>
    <w:rsid w:val="00E1015B"/>
    <w:rsid w:val="00E101BC"/>
    <w:rsid w:val="00E105AA"/>
    <w:rsid w:val="00E150E3"/>
    <w:rsid w:val="00E17006"/>
    <w:rsid w:val="00E17F13"/>
    <w:rsid w:val="00E22AC6"/>
    <w:rsid w:val="00E240B1"/>
    <w:rsid w:val="00E242F8"/>
    <w:rsid w:val="00E32325"/>
    <w:rsid w:val="00E409F1"/>
    <w:rsid w:val="00E44E64"/>
    <w:rsid w:val="00E457BB"/>
    <w:rsid w:val="00E50030"/>
    <w:rsid w:val="00E512EB"/>
    <w:rsid w:val="00E54174"/>
    <w:rsid w:val="00E61DA8"/>
    <w:rsid w:val="00E62D68"/>
    <w:rsid w:val="00E635EB"/>
    <w:rsid w:val="00E64BF7"/>
    <w:rsid w:val="00E65915"/>
    <w:rsid w:val="00E66202"/>
    <w:rsid w:val="00E70E4B"/>
    <w:rsid w:val="00E71C64"/>
    <w:rsid w:val="00E849C4"/>
    <w:rsid w:val="00E87D38"/>
    <w:rsid w:val="00E9142E"/>
    <w:rsid w:val="00E929BA"/>
    <w:rsid w:val="00E93C33"/>
    <w:rsid w:val="00EA18BA"/>
    <w:rsid w:val="00EA4ADF"/>
    <w:rsid w:val="00EA52A1"/>
    <w:rsid w:val="00EA54DA"/>
    <w:rsid w:val="00EA7365"/>
    <w:rsid w:val="00EB1FBB"/>
    <w:rsid w:val="00EC5350"/>
    <w:rsid w:val="00EE6315"/>
    <w:rsid w:val="00EF1C53"/>
    <w:rsid w:val="00EF2A7C"/>
    <w:rsid w:val="00EF6A9F"/>
    <w:rsid w:val="00F07564"/>
    <w:rsid w:val="00F12E9B"/>
    <w:rsid w:val="00F16CD9"/>
    <w:rsid w:val="00F2472D"/>
    <w:rsid w:val="00F25476"/>
    <w:rsid w:val="00F25D72"/>
    <w:rsid w:val="00F35013"/>
    <w:rsid w:val="00F35A12"/>
    <w:rsid w:val="00F41282"/>
    <w:rsid w:val="00F501D8"/>
    <w:rsid w:val="00F6080F"/>
    <w:rsid w:val="00F6607C"/>
    <w:rsid w:val="00F67B16"/>
    <w:rsid w:val="00F85298"/>
    <w:rsid w:val="00F86397"/>
    <w:rsid w:val="00F866C5"/>
    <w:rsid w:val="00FA41A1"/>
    <w:rsid w:val="00FA6E2B"/>
    <w:rsid w:val="00FB04D8"/>
    <w:rsid w:val="00FB2D5F"/>
    <w:rsid w:val="00FB2DF4"/>
    <w:rsid w:val="00FC626F"/>
    <w:rsid w:val="00FC6B81"/>
    <w:rsid w:val="00FD1BD2"/>
    <w:rsid w:val="00FD4F03"/>
    <w:rsid w:val="00FD67B4"/>
    <w:rsid w:val="00FE5A15"/>
    <w:rsid w:val="00FF2896"/>
    <w:rsid w:val="00FF5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8CE844-C15C-9344-A4F8-C6661480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2C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5D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D55E5D"/>
    <w:pPr>
      <w:tabs>
        <w:tab w:val="center" w:pos="4536"/>
        <w:tab w:val="right" w:pos="9072"/>
      </w:tabs>
    </w:pPr>
  </w:style>
  <w:style w:type="character" w:customStyle="1" w:styleId="stBilgiChar">
    <w:name w:val="Üst Bilgi Char"/>
    <w:link w:val="stBilgi"/>
    <w:uiPriority w:val="99"/>
    <w:rsid w:val="00D55E5D"/>
    <w:rPr>
      <w:rFonts w:ascii="Times New Roman" w:eastAsia="Times New Roman" w:hAnsi="Times New Roman"/>
      <w:sz w:val="24"/>
      <w:szCs w:val="24"/>
    </w:rPr>
  </w:style>
  <w:style w:type="paragraph" w:styleId="AltBilgi">
    <w:name w:val="footer"/>
    <w:basedOn w:val="Normal"/>
    <w:link w:val="AltBilgiChar"/>
    <w:uiPriority w:val="99"/>
    <w:unhideWhenUsed/>
    <w:rsid w:val="00D55E5D"/>
    <w:pPr>
      <w:tabs>
        <w:tab w:val="center" w:pos="4536"/>
        <w:tab w:val="right" w:pos="9072"/>
      </w:tabs>
    </w:pPr>
  </w:style>
  <w:style w:type="character" w:customStyle="1" w:styleId="AltBilgiChar">
    <w:name w:val="Alt Bilgi Char"/>
    <w:link w:val="AltBilgi"/>
    <w:uiPriority w:val="99"/>
    <w:rsid w:val="00D55E5D"/>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D55E5D"/>
    <w:rPr>
      <w:rFonts w:ascii="Tahoma" w:hAnsi="Tahoma"/>
      <w:sz w:val="16"/>
      <w:szCs w:val="16"/>
    </w:rPr>
  </w:style>
  <w:style w:type="character" w:customStyle="1" w:styleId="BalonMetniChar">
    <w:name w:val="Balon Metni Char"/>
    <w:link w:val="BalonMetni"/>
    <w:uiPriority w:val="99"/>
    <w:semiHidden/>
    <w:rsid w:val="00D55E5D"/>
    <w:rPr>
      <w:rFonts w:ascii="Tahoma" w:eastAsia="Times New Roman" w:hAnsi="Tahoma" w:cs="Tahoma"/>
      <w:sz w:val="16"/>
      <w:szCs w:val="16"/>
    </w:rPr>
  </w:style>
  <w:style w:type="paragraph" w:styleId="ListeParagraf">
    <w:name w:val="List Paragraph"/>
    <w:basedOn w:val="Normal"/>
    <w:uiPriority w:val="34"/>
    <w:qFormat/>
    <w:rsid w:val="00772DBC"/>
    <w:pPr>
      <w:spacing w:after="160" w:line="259" w:lineRule="auto"/>
      <w:ind w:left="720"/>
      <w:contextualSpacing/>
    </w:pPr>
    <w:rPr>
      <w:rFonts w:asciiTheme="minorHAnsi" w:eastAsiaTheme="minorEastAsia" w:hAnsiTheme="minorHAnsi" w:cstheme="minorBidi"/>
      <w:sz w:val="22"/>
      <w:szCs w:val="22"/>
      <w:lang w:eastAsia="zh-TW"/>
    </w:rPr>
  </w:style>
  <w:style w:type="paragraph" w:styleId="AralkYok">
    <w:name w:val="No Spacing"/>
    <w:uiPriority w:val="1"/>
    <w:qFormat/>
    <w:rsid w:val="0097753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9250">
      <w:bodyDiv w:val="1"/>
      <w:marLeft w:val="0"/>
      <w:marRight w:val="0"/>
      <w:marTop w:val="0"/>
      <w:marBottom w:val="0"/>
      <w:divBdr>
        <w:top w:val="none" w:sz="0" w:space="0" w:color="auto"/>
        <w:left w:val="none" w:sz="0" w:space="0" w:color="auto"/>
        <w:bottom w:val="none" w:sz="0" w:space="0" w:color="auto"/>
        <w:right w:val="none" w:sz="0" w:space="0" w:color="auto"/>
      </w:divBdr>
    </w:div>
    <w:div w:id="564535879">
      <w:bodyDiv w:val="1"/>
      <w:marLeft w:val="0"/>
      <w:marRight w:val="0"/>
      <w:marTop w:val="0"/>
      <w:marBottom w:val="0"/>
      <w:divBdr>
        <w:top w:val="none" w:sz="0" w:space="0" w:color="auto"/>
        <w:left w:val="none" w:sz="0" w:space="0" w:color="auto"/>
        <w:bottom w:val="none" w:sz="0" w:space="0" w:color="auto"/>
        <w:right w:val="none" w:sz="0" w:space="0" w:color="auto"/>
      </w:divBdr>
    </w:div>
    <w:div w:id="648285516">
      <w:bodyDiv w:val="1"/>
      <w:marLeft w:val="0"/>
      <w:marRight w:val="0"/>
      <w:marTop w:val="0"/>
      <w:marBottom w:val="0"/>
      <w:divBdr>
        <w:top w:val="none" w:sz="0" w:space="0" w:color="auto"/>
        <w:left w:val="none" w:sz="0" w:space="0" w:color="auto"/>
        <w:bottom w:val="none" w:sz="0" w:space="0" w:color="auto"/>
        <w:right w:val="none" w:sz="0" w:space="0" w:color="auto"/>
      </w:divBdr>
    </w:div>
    <w:div w:id="851066702">
      <w:bodyDiv w:val="1"/>
      <w:marLeft w:val="0"/>
      <w:marRight w:val="0"/>
      <w:marTop w:val="0"/>
      <w:marBottom w:val="0"/>
      <w:divBdr>
        <w:top w:val="none" w:sz="0" w:space="0" w:color="auto"/>
        <w:left w:val="none" w:sz="0" w:space="0" w:color="auto"/>
        <w:bottom w:val="none" w:sz="0" w:space="0" w:color="auto"/>
        <w:right w:val="none" w:sz="0" w:space="0" w:color="auto"/>
      </w:divBdr>
    </w:div>
    <w:div w:id="1179345349">
      <w:bodyDiv w:val="1"/>
      <w:marLeft w:val="0"/>
      <w:marRight w:val="0"/>
      <w:marTop w:val="0"/>
      <w:marBottom w:val="0"/>
      <w:divBdr>
        <w:top w:val="none" w:sz="0" w:space="0" w:color="auto"/>
        <w:left w:val="none" w:sz="0" w:space="0" w:color="auto"/>
        <w:bottom w:val="none" w:sz="0" w:space="0" w:color="auto"/>
        <w:right w:val="none" w:sz="0" w:space="0" w:color="auto"/>
      </w:divBdr>
    </w:div>
    <w:div w:id="14836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5C88-96ED-4D22-BD4E-5679D8F404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Selçuk</dc:creator>
  <cp:lastModifiedBy>Konuk Kullanıcı</cp:lastModifiedBy>
  <cp:revision>2</cp:revision>
  <cp:lastPrinted>2019-10-28T06:16:00Z</cp:lastPrinted>
  <dcterms:created xsi:type="dcterms:W3CDTF">2021-03-15T08:26:00Z</dcterms:created>
  <dcterms:modified xsi:type="dcterms:W3CDTF">2021-03-15T08:26:00Z</dcterms:modified>
</cp:coreProperties>
</file>